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EB529" w14:textId="77777777" w:rsidR="007C0AE9" w:rsidRDefault="007C0AE9" w:rsidP="007C0AE9">
      <w:pPr>
        <w:pStyle w:val="BodyText"/>
      </w:pPr>
      <w:r w:rsidRPr="00E32FE8">
        <w:t xml:space="preserve">The Georgia Institute of Technology seeks a strategic, innovative, and collaborative leader to serve as its next Vice Provost </w:t>
      </w:r>
      <w:r>
        <w:t>for</w:t>
      </w:r>
      <w:r w:rsidRPr="00E32FE8">
        <w:t xml:space="preserve"> Enrollment Management</w:t>
      </w:r>
      <w:r>
        <w:t xml:space="preserve"> (VPEM)</w:t>
      </w:r>
      <w:r w:rsidRPr="00E32FE8">
        <w:t>. Applications, inquiries, and nominations are invited.</w:t>
      </w:r>
    </w:p>
    <w:p w14:paraId="7418B3D1" w14:textId="77777777" w:rsidR="007C0AE9" w:rsidRDefault="007C0AE9" w:rsidP="007C0AE9">
      <w:pPr>
        <w:pStyle w:val="BodyText"/>
      </w:pPr>
      <w:r>
        <w:t>The Georgia Institute of Technology ("Georgia Tech", "The Institute" or "Institute") is a top-ranked public research university situated in the heart of Atlanta, a diverse and vibrant city with numerous economic and cultural strengths. Georgia Tech has instructional sites in Metz, France, and Savannah, Georgia, and has facilitated research collaborations across the globe. The Institute serves more than 50,000 students through top ranked undergraduate, graduate, and executive programs in engineering, computing, science, business, design, and liberal arts. It has been the nation’s fastest-growing public university over the past decade and is the largest in the state.</w:t>
      </w:r>
    </w:p>
    <w:p w14:paraId="72B75587" w14:textId="77777777" w:rsidR="007C0AE9" w:rsidRDefault="007C0AE9" w:rsidP="007C0AE9">
      <w:pPr>
        <w:pStyle w:val="BodyText"/>
      </w:pPr>
      <w:r>
        <w:t>Georgia Tech's faculty attracted $1.37 billion in research awards in fiscal year 2024 in fields ranging from artificial intelligence to biomedical technology, energy, neuroscience, national security, semiconductors, and sustainability. Georgia Tech is home to seven colleges that include the College of Engineering, College of Computing, Scheller College of Business, College of Sciences, College of Design, Ivan Allen College of Liberal Arts, and the College of Lifetime Learning. Georgia Tech’s world-renowned faculty are not only pioneers in research and innovation but also dedicated educators who bring their expertise into the classroom, fostering a rigorous and engaging learning environment that prepares students to lead and excel in the evolving world. As of 2025, 49 faculty members have been elected to the National Academy of Engineering, five to the National Academy of Sciences, and more than 100 as Fellows of the American Association for Advancement of Science.</w:t>
      </w:r>
    </w:p>
    <w:p w14:paraId="7E591EF0" w14:textId="77777777" w:rsidR="007C0AE9" w:rsidRDefault="007C0AE9" w:rsidP="007C0AE9">
      <w:pPr>
        <w:pStyle w:val="BodyText"/>
      </w:pPr>
      <w:r w:rsidRPr="00BD79A7">
        <w:t xml:space="preserve">Georgia Tech is entering a transformative phase as it advances the second half of its ambitious decade-long </w:t>
      </w:r>
      <w:hyperlink r:id="rId11" w:history="1">
        <w:r w:rsidRPr="00BD79A7">
          <w:rPr>
            <w:rStyle w:val="Hyperlink"/>
          </w:rPr>
          <w:t>strategic plan</w:t>
        </w:r>
      </w:hyperlink>
      <w:r w:rsidRPr="00BD79A7">
        <w:t xml:space="preserve">, guided by four “Big Bets” that are driving the Institute’s commitment to growth with a focus on student outcomes, research growth, innovation, and lifelong learning. In fall 2024, Georgia Tech welcomed approximately 5,326 new undergraduate students, reflecting a notable record of increases in applications and record-setting first-year and transfer class sizes. Under President Ángel Cabrera’s leadership, it has been a priority to not only increase the size of Georgia Tech's first-year class and overall undergraduate enrollment but also to enhance the breadth of backgrounds, perspectives, and passions within </w:t>
      </w:r>
      <w:r>
        <w:t xml:space="preserve">the Institute's </w:t>
      </w:r>
      <w:r w:rsidRPr="00BD79A7">
        <w:t>community.</w:t>
      </w:r>
      <w:r>
        <w:t xml:space="preserve"> </w:t>
      </w:r>
    </w:p>
    <w:p w14:paraId="3C04E9FA" w14:textId="77777777" w:rsidR="007C0AE9" w:rsidRDefault="007C0AE9" w:rsidP="007C0AE9">
      <w:pPr>
        <w:pStyle w:val="BodyText"/>
      </w:pPr>
      <w:r w:rsidRPr="0029781B">
        <w:t xml:space="preserve">Reporting to the Provost, the VPEM will </w:t>
      </w:r>
      <w:r>
        <w:t>spearhead</w:t>
      </w:r>
      <w:r w:rsidRPr="0029781B">
        <w:t xml:space="preserve"> the vision and strategy to </w:t>
      </w:r>
      <w:r>
        <w:t>propel</w:t>
      </w:r>
      <w:r w:rsidRPr="0029781B">
        <w:t xml:space="preserve"> Georgia Tech's enrollment </w:t>
      </w:r>
      <w:r>
        <w:t>to new heights</w:t>
      </w:r>
      <w:r w:rsidRPr="0029781B">
        <w:t xml:space="preserve"> </w:t>
      </w:r>
      <w:r>
        <w:t>in alignment</w:t>
      </w:r>
      <w:r w:rsidRPr="0029781B">
        <w:t xml:space="preserve"> with </w:t>
      </w:r>
      <w:r>
        <w:t>the Institute's</w:t>
      </w:r>
      <w:r w:rsidRPr="0029781B">
        <w:t xml:space="preserve"> strategic plan. This </w:t>
      </w:r>
      <w:r>
        <w:t xml:space="preserve">work </w:t>
      </w:r>
      <w:r w:rsidRPr="0029781B">
        <w:t>will be done in broad collaboration with campus partners and a dedicated team in Enrollment Management</w:t>
      </w:r>
      <w:r>
        <w:t xml:space="preserve"> to drive forward current momentum and achieve results</w:t>
      </w:r>
      <w:r w:rsidRPr="0029781B">
        <w:t xml:space="preserve">. To execute this vital work, the VPEM will provide leadership for </w:t>
      </w:r>
      <w:r>
        <w:t>a</w:t>
      </w:r>
      <w:r w:rsidRPr="0029781B">
        <w:t xml:space="preserve"> team comprised of </w:t>
      </w:r>
      <w:r>
        <w:t xml:space="preserve">the </w:t>
      </w:r>
      <w:r w:rsidRPr="005448A3">
        <w:t>Office of Undergraduate Admission</w:t>
      </w:r>
      <w:r>
        <w:t xml:space="preserve">, </w:t>
      </w:r>
      <w:r w:rsidRPr="005448A3">
        <w:t>the Office of Scholarships and Financial Aid, Enrollment Marketing and Communications, the Office of Scholar Programs,</w:t>
      </w:r>
      <w:r>
        <w:t xml:space="preserve"> the Bill Moore Student Success Center building (which houses enrollment operations and facilities),</w:t>
      </w:r>
      <w:r w:rsidRPr="005448A3">
        <w:t xml:space="preserve"> and the </w:t>
      </w:r>
      <w:r>
        <w:t>recently</w:t>
      </w:r>
      <w:r w:rsidRPr="005448A3">
        <w:t xml:space="preserve"> formed Office of Strategic Student Access.</w:t>
      </w:r>
    </w:p>
    <w:p w14:paraId="2391015A" w14:textId="77777777" w:rsidR="007C0AE9" w:rsidRDefault="007C0AE9" w:rsidP="007C0AE9">
      <w:pPr>
        <w:pStyle w:val="BodyText"/>
      </w:pPr>
      <w:r>
        <w:t xml:space="preserve">Georgia Tech is seeking an experienced thought leader who will bring a diplomatic, collaborative, and innovative approach to leading enrollment management. The next VPEM will be a skilled communicator who invests deeply in institutional relationships and brings significant leadership and managerial experience in enrollment management, ideally with an understanding of the public research university environment. The VPEM will be a respected and influential leader across campus, capable of facilitating discussions with faculty, staff, and administration about enrollment considerations and actively participating in decision-making processes. Additionally, the VPEM will bring the skills to lead enrollment in a complex environment: exceptional analytical capacity and technological sophistication; the ability to make connections across the </w:t>
      </w:r>
      <w:r>
        <w:lastRenderedPageBreak/>
        <w:t>Institute; and an understanding of selective, holistic enrollment with attention to balancing multiple priorities and goals.</w:t>
      </w:r>
    </w:p>
    <w:p w14:paraId="4E901E3E" w14:textId="37C2A555" w:rsidR="007C0AE9" w:rsidRDefault="007C0AE9" w:rsidP="007C0AE9">
      <w:pPr>
        <w:pStyle w:val="BodyText"/>
      </w:pPr>
      <w:r>
        <w:t xml:space="preserve">All applications, nominations, and inquiries are invited. Applications should include, </w:t>
      </w:r>
      <w:proofErr w:type="gramStart"/>
      <w:r>
        <w:t>as</w:t>
      </w:r>
      <w:proofErr w:type="gramEnd"/>
      <w:r>
        <w:t xml:space="preserve"> separate documents, a CV or resume and a letter of interest addressing the themes in th</w:t>
      </w:r>
      <w:r w:rsidR="00094A32">
        <w:t>e leadership</w:t>
      </w:r>
      <w:r>
        <w:t xml:space="preserve"> profile</w:t>
      </w:r>
      <w:r w:rsidR="007B0809">
        <w:t>.</w:t>
      </w:r>
    </w:p>
    <w:p w14:paraId="09E505B8" w14:textId="7290553F" w:rsidR="007C0AE9" w:rsidRDefault="007C0AE9" w:rsidP="007C0AE9">
      <w:pPr>
        <w:pStyle w:val="BodyText"/>
      </w:pPr>
      <w:r>
        <w:t xml:space="preserve">WittKieffer is assisting Georgia Tech in this search. For fullest consideration, candidate materials should be received by </w:t>
      </w:r>
      <w:r w:rsidR="008130A1">
        <w:rPr>
          <w:b/>
          <w:bCs/>
        </w:rPr>
        <w:t>October 27, 2025</w:t>
      </w:r>
      <w:r w:rsidRPr="00647E98">
        <w:rPr>
          <w:b/>
          <w:bCs/>
        </w:rPr>
        <w:t>.</w:t>
      </w:r>
    </w:p>
    <w:p w14:paraId="32192B7A" w14:textId="77777777" w:rsidR="007C0AE9" w:rsidRDefault="007C0AE9" w:rsidP="007C0AE9">
      <w:pPr>
        <w:pStyle w:val="BodyText"/>
      </w:pPr>
      <w:r>
        <w:t>Before formal appointment, the selected candidate will have to submit three letters of reference and undergo a background check as part of the hiring process.</w:t>
      </w:r>
    </w:p>
    <w:p w14:paraId="0AA5B3AD" w14:textId="738BF64E" w:rsidR="007C0AE9" w:rsidRDefault="007C0AE9" w:rsidP="007C0AE9">
      <w:pPr>
        <w:pStyle w:val="BodyText"/>
      </w:pPr>
      <w:r>
        <w:t xml:space="preserve">Application materials should be submitted </w:t>
      </w:r>
      <w:r w:rsidR="007B0809">
        <w:t>through</w:t>
      </w:r>
      <w:r>
        <w:t xml:space="preserve"> WittKieffer’s </w:t>
      </w:r>
      <w:r w:rsidRPr="007B0809">
        <w:t>candidate portal</w:t>
      </w:r>
      <w:r w:rsidR="007B0809">
        <w:t xml:space="preserve"> using the buttons below.</w:t>
      </w:r>
    </w:p>
    <w:p w14:paraId="11EAAAD9" w14:textId="77777777" w:rsidR="007C0AE9" w:rsidRDefault="007C0AE9" w:rsidP="007C0AE9">
      <w:pPr>
        <w:pStyle w:val="BodyText"/>
      </w:pPr>
      <w:r>
        <w:t xml:space="preserve">Nominations and inquiries can be directed </w:t>
      </w:r>
      <w:proofErr w:type="gramStart"/>
      <w:r>
        <w:t>to</w:t>
      </w:r>
      <w:proofErr w:type="gramEnd"/>
      <w:r>
        <w:t>:</w:t>
      </w:r>
    </w:p>
    <w:p w14:paraId="72A906BE" w14:textId="77777777" w:rsidR="007C0AE9" w:rsidRDefault="007C0AE9" w:rsidP="007C0AE9">
      <w:pPr>
        <w:pStyle w:val="LP30ConsultantName"/>
      </w:pPr>
      <w:r>
        <w:t>Amy Crutchfield, Christy Pratt, Ashlee Musser, and Suzanne Teer</w:t>
      </w:r>
    </w:p>
    <w:p w14:paraId="5974A4E7" w14:textId="77777777" w:rsidR="007C0AE9" w:rsidRDefault="007C0AE9" w:rsidP="007C0AE9">
      <w:pPr>
        <w:pStyle w:val="EEOStatement"/>
        <w:rPr>
          <w:b/>
          <w:bCs/>
          <w:i w:val="0"/>
          <w:sz w:val="20"/>
          <w:szCs w:val="22"/>
          <w:u w:val="single"/>
        </w:rPr>
      </w:pPr>
      <w:hyperlink r:id="rId12" w:history="1">
        <w:r w:rsidRPr="00F76576">
          <w:rPr>
            <w:rStyle w:val="Hyperlink"/>
            <w:b/>
            <w:bCs/>
            <w:i w:val="0"/>
            <w:sz w:val="20"/>
            <w:szCs w:val="22"/>
          </w:rPr>
          <w:t>GATech-EM@wittkieffer.com</w:t>
        </w:r>
      </w:hyperlink>
    </w:p>
    <w:p w14:paraId="6AE711C0" w14:textId="77777777" w:rsidR="007C0AE9" w:rsidRPr="009355D0" w:rsidRDefault="007C0AE9" w:rsidP="007C0AE9">
      <w:pPr>
        <w:pStyle w:val="EEOStatement"/>
        <w:rPr>
          <w:b/>
          <w:bCs/>
        </w:rPr>
      </w:pPr>
      <w:r w:rsidRPr="5469BA21">
        <w:rPr>
          <w:b/>
          <w:bCs/>
        </w:rPr>
        <w:t>Equal Employment Opportunity</w:t>
      </w:r>
    </w:p>
    <w:p w14:paraId="3DA0D8CE" w14:textId="77777777" w:rsidR="007C0AE9" w:rsidRPr="00421375" w:rsidRDefault="007C0AE9" w:rsidP="007C0AE9">
      <w:pPr>
        <w:pStyle w:val="EEOStatement"/>
        <w:rPr>
          <w:sz w:val="15"/>
          <w:szCs w:val="15"/>
        </w:rPr>
      </w:pPr>
      <w:r w:rsidRPr="00421375">
        <w:rPr>
          <w:sz w:val="15"/>
          <w:szCs w:val="15"/>
        </w:rPr>
        <w:t xml:space="preserve"> The Georgia Institute of Technology (Georgia Tech) is an Equal Employment Opportunity Employer. The Institute is committed to maintaining a fair and respectful environment for all. To that end, and in accordance with federal and state law, Board of Regents policy, and Institute policy, Georgia Tech provides equal opportunity to all faculty, staff, students, and all other members of the Georgia Tech community, including applicants for admission and/or employment, contractors, volunteers, and participants in institutional programs, activities, or services. Georgia Tech complies with all applicable laws and regulations governing equal opportunity in the workplace and in educational activities.</w:t>
      </w:r>
    </w:p>
    <w:p w14:paraId="5EAA1998" w14:textId="77777777" w:rsidR="007C0AE9" w:rsidRPr="00421375" w:rsidRDefault="007C0AE9" w:rsidP="007C0AE9">
      <w:pPr>
        <w:pStyle w:val="EEOStatement"/>
        <w:rPr>
          <w:sz w:val="15"/>
          <w:szCs w:val="15"/>
        </w:rPr>
      </w:pPr>
      <w:r w:rsidRPr="00421375">
        <w:rPr>
          <w:sz w:val="15"/>
          <w:szCs w:val="15"/>
        </w:rPr>
        <w:t xml:space="preserve">Equal opportunity and decisions based on merit are fundamental values of the University System of Georgia (“USG”) and Georgia Tech. Georgia Tech prohibits discrimination, including discriminatory harassment, </w:t>
      </w:r>
      <w:proofErr w:type="gramStart"/>
      <w:r w:rsidRPr="00421375">
        <w:rPr>
          <w:sz w:val="15"/>
          <w:szCs w:val="15"/>
        </w:rPr>
        <w:t>on the basis of</w:t>
      </w:r>
      <w:proofErr w:type="gramEnd"/>
      <w:r w:rsidRPr="00421375">
        <w:rPr>
          <w:sz w:val="15"/>
          <w:szCs w:val="15"/>
        </w:rPr>
        <w:t xml:space="preserve"> an individual’s race, ethnicity, ancestry, color, religion, sex (including pregnancy), national origin, age, disability, genetics, or veteran status in its programs, activities, employment, and admissions. Further, Georgia Tech prohibits citizenship status, immigration status, and national origin discrimination in hiring, firing, and recruitment, except where such restrictions are required </w:t>
      </w:r>
      <w:proofErr w:type="gramStart"/>
      <w:r w:rsidRPr="00421375">
        <w:rPr>
          <w:sz w:val="15"/>
          <w:szCs w:val="15"/>
        </w:rPr>
        <w:t>in order to</w:t>
      </w:r>
      <w:proofErr w:type="gramEnd"/>
      <w:r w:rsidRPr="00421375">
        <w:rPr>
          <w:sz w:val="15"/>
          <w:szCs w:val="15"/>
        </w:rPr>
        <w:t xml:space="preserve"> comply with law, regulation, executive order, or Attorney General directive, or where they are required by Federal, State, or local government contract.</w:t>
      </w:r>
    </w:p>
    <w:p w14:paraId="41681130" w14:textId="77777777" w:rsidR="006D4890" w:rsidRPr="0086573C" w:rsidRDefault="006D4890">
      <w:pPr>
        <w:rPr>
          <w:sz w:val="24"/>
          <w:szCs w:val="24"/>
        </w:rPr>
      </w:pPr>
    </w:p>
    <w:sectPr w:rsidR="006D4890" w:rsidRPr="0086573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23DF3" w14:textId="77777777" w:rsidR="00F32313" w:rsidRDefault="00F32313" w:rsidP="00961960">
      <w:pPr>
        <w:spacing w:after="0" w:line="240" w:lineRule="auto"/>
      </w:pPr>
      <w:r>
        <w:separator/>
      </w:r>
    </w:p>
  </w:endnote>
  <w:endnote w:type="continuationSeparator" w:id="0">
    <w:p w14:paraId="499B905E" w14:textId="77777777" w:rsidR="00F32313" w:rsidRDefault="00F32313" w:rsidP="00961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63FF" w14:textId="77777777" w:rsidR="00961960" w:rsidRDefault="00961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7870D" w14:textId="77777777" w:rsidR="00961960" w:rsidRDefault="009619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EA922" w14:textId="77777777" w:rsidR="00961960" w:rsidRDefault="00961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3CC83" w14:textId="77777777" w:rsidR="00F32313" w:rsidRDefault="00F32313" w:rsidP="00961960">
      <w:pPr>
        <w:spacing w:after="0" w:line="240" w:lineRule="auto"/>
      </w:pPr>
      <w:r>
        <w:separator/>
      </w:r>
    </w:p>
  </w:footnote>
  <w:footnote w:type="continuationSeparator" w:id="0">
    <w:p w14:paraId="6A811602" w14:textId="77777777" w:rsidR="00F32313" w:rsidRDefault="00F32313" w:rsidP="00961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62E66" w14:textId="77777777" w:rsidR="00961960" w:rsidRDefault="00961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77FCC" w14:textId="77777777" w:rsidR="00961960" w:rsidRDefault="009619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FC21C" w14:textId="77777777" w:rsidR="00961960" w:rsidRDefault="009619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AE9"/>
    <w:rsid w:val="00094A32"/>
    <w:rsid w:val="003F16FF"/>
    <w:rsid w:val="004121C7"/>
    <w:rsid w:val="004802F8"/>
    <w:rsid w:val="00587C56"/>
    <w:rsid w:val="00636B90"/>
    <w:rsid w:val="006D4890"/>
    <w:rsid w:val="00761D15"/>
    <w:rsid w:val="007A475C"/>
    <w:rsid w:val="007B0809"/>
    <w:rsid w:val="007C0AE9"/>
    <w:rsid w:val="008036EB"/>
    <w:rsid w:val="008130A1"/>
    <w:rsid w:val="0086573C"/>
    <w:rsid w:val="008B39A5"/>
    <w:rsid w:val="00961960"/>
    <w:rsid w:val="00A65E00"/>
    <w:rsid w:val="00F32313"/>
    <w:rsid w:val="00FC7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1E2D6"/>
  <w15:chartTrackingRefBased/>
  <w15:docId w15:val="{B5AAB4E5-EC10-49AF-BD4C-CFAE47BD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D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1D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1D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1D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1D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1D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1D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1D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1D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D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1D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1D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1D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1D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1D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1D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1D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1D15"/>
    <w:rPr>
      <w:rFonts w:eastAsiaTheme="majorEastAsia" w:cstheme="majorBidi"/>
      <w:color w:val="272727" w:themeColor="text1" w:themeTint="D8"/>
    </w:rPr>
  </w:style>
  <w:style w:type="paragraph" w:styleId="Title">
    <w:name w:val="Title"/>
    <w:basedOn w:val="Normal"/>
    <w:next w:val="Normal"/>
    <w:link w:val="TitleChar"/>
    <w:uiPriority w:val="10"/>
    <w:qFormat/>
    <w:rsid w:val="00761D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1D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1D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1D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1D15"/>
    <w:pPr>
      <w:spacing w:before="160"/>
      <w:jc w:val="center"/>
    </w:pPr>
    <w:rPr>
      <w:i/>
      <w:iCs/>
      <w:color w:val="404040" w:themeColor="text1" w:themeTint="BF"/>
    </w:rPr>
  </w:style>
  <w:style w:type="character" w:customStyle="1" w:styleId="QuoteChar">
    <w:name w:val="Quote Char"/>
    <w:basedOn w:val="DefaultParagraphFont"/>
    <w:link w:val="Quote"/>
    <w:uiPriority w:val="29"/>
    <w:rsid w:val="00761D15"/>
    <w:rPr>
      <w:i/>
      <w:iCs/>
      <w:color w:val="404040" w:themeColor="text1" w:themeTint="BF"/>
    </w:rPr>
  </w:style>
  <w:style w:type="paragraph" w:styleId="ListParagraph">
    <w:name w:val="List Paragraph"/>
    <w:basedOn w:val="Normal"/>
    <w:uiPriority w:val="34"/>
    <w:qFormat/>
    <w:rsid w:val="00761D15"/>
    <w:pPr>
      <w:ind w:left="720"/>
      <w:contextualSpacing/>
    </w:pPr>
  </w:style>
  <w:style w:type="character" w:styleId="IntenseEmphasis">
    <w:name w:val="Intense Emphasis"/>
    <w:basedOn w:val="DefaultParagraphFont"/>
    <w:uiPriority w:val="21"/>
    <w:qFormat/>
    <w:rsid w:val="00761D15"/>
    <w:rPr>
      <w:i/>
      <w:iCs/>
      <w:color w:val="0F4761" w:themeColor="accent1" w:themeShade="BF"/>
    </w:rPr>
  </w:style>
  <w:style w:type="paragraph" w:styleId="IntenseQuote">
    <w:name w:val="Intense Quote"/>
    <w:basedOn w:val="Normal"/>
    <w:next w:val="Normal"/>
    <w:link w:val="IntenseQuoteChar"/>
    <w:uiPriority w:val="30"/>
    <w:qFormat/>
    <w:rsid w:val="00761D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1D15"/>
    <w:rPr>
      <w:i/>
      <w:iCs/>
      <w:color w:val="0F4761" w:themeColor="accent1" w:themeShade="BF"/>
    </w:rPr>
  </w:style>
  <w:style w:type="character" w:styleId="IntenseReference">
    <w:name w:val="Intense Reference"/>
    <w:basedOn w:val="DefaultParagraphFont"/>
    <w:uiPriority w:val="32"/>
    <w:qFormat/>
    <w:rsid w:val="00761D15"/>
    <w:rPr>
      <w:b/>
      <w:bCs/>
      <w:smallCaps/>
      <w:color w:val="0F4761" w:themeColor="accent1" w:themeShade="BF"/>
      <w:spacing w:val="5"/>
    </w:rPr>
  </w:style>
  <w:style w:type="paragraph" w:styleId="Header">
    <w:name w:val="header"/>
    <w:basedOn w:val="Normal"/>
    <w:link w:val="HeaderChar"/>
    <w:uiPriority w:val="99"/>
    <w:unhideWhenUsed/>
    <w:rsid w:val="00961960"/>
    <w:pPr>
      <w:tabs>
        <w:tab w:val="center" w:pos="4677"/>
        <w:tab w:val="right" w:pos="9355"/>
      </w:tabs>
      <w:spacing w:after="0" w:line="240" w:lineRule="auto"/>
    </w:pPr>
  </w:style>
  <w:style w:type="character" w:customStyle="1" w:styleId="HeaderChar">
    <w:name w:val="Header Char"/>
    <w:basedOn w:val="DefaultParagraphFont"/>
    <w:link w:val="Header"/>
    <w:uiPriority w:val="99"/>
    <w:rsid w:val="00961960"/>
  </w:style>
  <w:style w:type="paragraph" w:styleId="Footer">
    <w:name w:val="footer"/>
    <w:basedOn w:val="Normal"/>
    <w:link w:val="FooterChar"/>
    <w:uiPriority w:val="99"/>
    <w:unhideWhenUsed/>
    <w:rsid w:val="00961960"/>
    <w:pPr>
      <w:tabs>
        <w:tab w:val="center" w:pos="4677"/>
        <w:tab w:val="right" w:pos="9355"/>
      </w:tabs>
      <w:spacing w:after="0" w:line="240" w:lineRule="auto"/>
    </w:pPr>
  </w:style>
  <w:style w:type="character" w:customStyle="1" w:styleId="FooterChar">
    <w:name w:val="Footer Char"/>
    <w:basedOn w:val="DefaultParagraphFont"/>
    <w:link w:val="Footer"/>
    <w:uiPriority w:val="99"/>
    <w:rsid w:val="00961960"/>
  </w:style>
  <w:style w:type="paragraph" w:styleId="BodyText">
    <w:name w:val="Body Text"/>
    <w:aliases w:val="[LP00] Body Text"/>
    <w:basedOn w:val="Normal"/>
    <w:link w:val="BodyTextChar"/>
    <w:qFormat/>
    <w:rsid w:val="007C0AE9"/>
    <w:pPr>
      <w:spacing w:after="200" w:line="264" w:lineRule="auto"/>
    </w:pPr>
    <w:rPr>
      <w:sz w:val="20"/>
    </w:rPr>
  </w:style>
  <w:style w:type="character" w:customStyle="1" w:styleId="BodyTextChar">
    <w:name w:val="Body Text Char"/>
    <w:aliases w:val="[LP00] Body Text Char"/>
    <w:basedOn w:val="DefaultParagraphFont"/>
    <w:link w:val="BodyText"/>
    <w:rsid w:val="007C0AE9"/>
    <w:rPr>
      <w:sz w:val="20"/>
    </w:rPr>
  </w:style>
  <w:style w:type="character" w:styleId="Hyperlink">
    <w:name w:val="Hyperlink"/>
    <w:basedOn w:val="DefaultParagraphFont"/>
    <w:uiPriority w:val="30"/>
    <w:unhideWhenUsed/>
    <w:rsid w:val="007C0AE9"/>
    <w:rPr>
      <w:color w:val="196B24" w:themeColor="accent3"/>
      <w:u w:val="single"/>
    </w:rPr>
  </w:style>
  <w:style w:type="paragraph" w:customStyle="1" w:styleId="EEOStatement">
    <w:name w:val="EEO Statement"/>
    <w:basedOn w:val="Normal"/>
    <w:uiPriority w:val="30"/>
    <w:qFormat/>
    <w:rsid w:val="007C0AE9"/>
    <w:pPr>
      <w:spacing w:after="180" w:line="264" w:lineRule="auto"/>
      <w:jc w:val="center"/>
    </w:pPr>
    <w:rPr>
      <w:i/>
      <w:sz w:val="18"/>
      <w:szCs w:val="16"/>
    </w:rPr>
  </w:style>
  <w:style w:type="paragraph" w:customStyle="1" w:styleId="LP30ConsultantName">
    <w:name w:val="[LP 30] Consultant Name"/>
    <w:basedOn w:val="BodyText"/>
    <w:uiPriority w:val="30"/>
    <w:qFormat/>
    <w:rsid w:val="007C0AE9"/>
    <w:pPr>
      <w:jc w:val="center"/>
    </w:pPr>
  </w:style>
  <w:style w:type="character" w:styleId="UnresolvedMention">
    <w:name w:val="Unresolved Mention"/>
    <w:basedOn w:val="DefaultParagraphFont"/>
    <w:uiPriority w:val="99"/>
    <w:semiHidden/>
    <w:unhideWhenUsed/>
    <w:rsid w:val="00480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Tech-EM@wittkieffer.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rategicplan.gatech.edu/" TargetMode="Externa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rker\AppData\Local\Temp\Templafy\WordVsto\3lwo1xy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07005A41DB5B4FAE6B92A4F0FB6D63" ma:contentTypeVersion="3" ma:contentTypeDescription="Create a new document." ma:contentTypeScope="" ma:versionID="8897940354d1c6087d8915e97a80665f">
  <xsd:schema xmlns:xsd="http://www.w3.org/2001/XMLSchema" xmlns:xs="http://www.w3.org/2001/XMLSchema" xmlns:p="http://schemas.microsoft.com/office/2006/metadata/properties" xmlns:ns2="41719044-6d37-4edf-a332-8c798c4b0b81" targetNamespace="http://schemas.microsoft.com/office/2006/metadata/properties" ma:root="true" ma:fieldsID="00a7e7eab547f5d05d523e7248020dfd" ns2:_="">
    <xsd:import namespace="41719044-6d37-4edf-a332-8c798c4b0b8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19044-6d37-4edf-a332-8c798c4b0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TemplafyFormConfiguration><![CDATA[{"formFields":[],"formDataEntries":[]}]]></TemplafyFormConfigura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mplafyTemplateConfiguration><![CDATA[{"elementsMetadata":[],"transformationConfigurations":[],"templateName":"blankdocument","templateDescription":"","enableDocumentContentUpdater":false,"version":"2.0"}]]></TemplafyTemplateConfiguration>
</file>

<file path=customXml/itemProps1.xml><?xml version="1.0" encoding="utf-8"?>
<ds:datastoreItem xmlns:ds="http://schemas.openxmlformats.org/officeDocument/2006/customXml" ds:itemID="{B0F9AF66-821C-48C9-B358-762AA0C19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19044-6d37-4edf-a332-8c798c4b0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A24D1A-EF69-4A16-948B-7144445254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DD9007-DFAD-42C3-8A86-9F4B0DF3218E}">
  <ds:schemaRefs/>
</ds:datastoreItem>
</file>

<file path=customXml/itemProps4.xml><?xml version="1.0" encoding="utf-8"?>
<ds:datastoreItem xmlns:ds="http://schemas.openxmlformats.org/officeDocument/2006/customXml" ds:itemID="{521ABC8E-0749-4971-8B4C-34D9C06AF896}">
  <ds:schemaRefs>
    <ds:schemaRef ds:uri="http://schemas.microsoft.com/sharepoint/v3/contenttype/forms"/>
  </ds:schemaRefs>
</ds:datastoreItem>
</file>

<file path=customXml/itemProps5.xml><?xml version="1.0" encoding="utf-8"?>
<ds:datastoreItem xmlns:ds="http://schemas.openxmlformats.org/officeDocument/2006/customXml" ds:itemID="{85D6E3B7-DF0C-4F63-A346-651358634F52}">
  <ds:schemaRefs/>
</ds:datastoreItem>
</file>

<file path=docProps/app.xml><?xml version="1.0" encoding="utf-8"?>
<Properties xmlns="http://schemas.openxmlformats.org/officeDocument/2006/extended-properties" xmlns:vt="http://schemas.openxmlformats.org/officeDocument/2006/docPropsVTypes">
  <Template>3lwo1xyd.dotx</Template>
  <TotalTime>1</TotalTime>
  <Pages>2</Pages>
  <Words>1000</Words>
  <Characters>5700</Characters>
  <Application>Microsoft Office Word</Application>
  <DocSecurity>0</DocSecurity>
  <Lines>47</Lines>
  <Paragraphs>13</Paragraphs>
  <ScaleCrop>false</ScaleCrop>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Parker</dc:creator>
  <cp:keywords/>
  <dc:description/>
  <cp:lastModifiedBy>Ashlee Musser</cp:lastModifiedBy>
  <cp:revision>2</cp:revision>
  <dcterms:created xsi:type="dcterms:W3CDTF">2025-09-15T21:31:00Z</dcterms:created>
  <dcterms:modified xsi:type="dcterms:W3CDTF">2025-09-15T21:31:00Z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wittkieffer</vt:lpwstr>
  </property>
  <property fmtid="{D5CDD505-2E9C-101B-9397-08002B2CF9AE}" pid="3" name="TemplafyTemplateId">
    <vt:lpwstr>970940648004518413</vt:lpwstr>
  </property>
  <property fmtid="{D5CDD505-2E9C-101B-9397-08002B2CF9AE}" pid="4" name="TemplafyUserProfileId">
    <vt:lpwstr>997371876680663944</vt:lpwstr>
  </property>
  <property fmtid="{D5CDD505-2E9C-101B-9397-08002B2CF9AE}" pid="5" name="TemplafyFromBlank">
    <vt:bool>true</vt:bool>
  </property>
  <property fmtid="{D5CDD505-2E9C-101B-9397-08002B2CF9AE}" pid="6" name="ContentTypeId">
    <vt:lpwstr>0x0101005D07005A41DB5B4FAE6B92A4F0FB6D63</vt:lpwstr>
  </property>
</Properties>
</file>