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B15D" w14:textId="77777777" w:rsidR="00B419A8" w:rsidRPr="00B419A8" w:rsidRDefault="00B419A8" w:rsidP="00B419A8">
      <w:pPr>
        <w:spacing w:after="0" w:line="240" w:lineRule="auto"/>
        <w:jc w:val="center"/>
        <w:textAlignment w:val="baseline"/>
        <w:outlineLvl w:val="0"/>
        <w:rPr>
          <w:rFonts w:ascii="inherit" w:eastAsia="Times New Roman" w:hAnsi="inherit" w:cs="Arial"/>
          <w:color w:val="54585A"/>
          <w:kern w:val="36"/>
          <w:sz w:val="22"/>
          <w:szCs w:val="22"/>
          <w14:ligatures w14:val="none"/>
        </w:rPr>
      </w:pPr>
      <w:r w:rsidRPr="00B419A8">
        <w:rPr>
          <w:rFonts w:ascii="inherit" w:eastAsia="Times New Roman" w:hAnsi="inherit" w:cs="Arial"/>
          <w:color w:val="54585A"/>
          <w:kern w:val="36"/>
          <w:sz w:val="22"/>
          <w:szCs w:val="22"/>
          <w14:ligatures w14:val="none"/>
        </w:rPr>
        <w:t>Director, Transfer Credit Hub</w:t>
      </w:r>
    </w:p>
    <w:p w14:paraId="66E61772" w14:textId="77777777" w:rsidR="00B419A8" w:rsidRPr="00B419A8" w:rsidRDefault="00B419A8" w:rsidP="00B419A8">
      <w:pPr>
        <w:spacing w:after="0" w:line="240" w:lineRule="auto"/>
        <w:jc w:val="center"/>
        <w:textAlignment w:val="baseline"/>
        <w:rPr>
          <w:rFonts w:ascii="inherit" w:eastAsia="Times New Roman" w:hAnsi="inherit" w:cs="Arial"/>
          <w:color w:val="21543F"/>
          <w:kern w:val="0"/>
          <w:sz w:val="22"/>
          <w:szCs w:val="22"/>
          <w14:ligatures w14:val="none"/>
        </w:rPr>
      </w:pPr>
      <w:r w:rsidRPr="00B419A8">
        <w:rPr>
          <w:rFonts w:ascii="inherit" w:eastAsia="Times New Roman" w:hAnsi="inherit" w:cs="Arial"/>
          <w:color w:val="21543F"/>
          <w:kern w:val="0"/>
          <w:sz w:val="22"/>
          <w:szCs w:val="22"/>
          <w:bdr w:val="none" w:sz="0" w:space="0" w:color="auto" w:frame="1"/>
          <w14:ligatures w14:val="none"/>
        </w:rPr>
        <w:t>New Orleans, LA, United States</w:t>
      </w:r>
    </w:p>
    <w:p w14:paraId="241E6860" w14:textId="77777777" w:rsidR="00B419A8" w:rsidRPr="00B419A8" w:rsidRDefault="00B419A8" w:rsidP="00B419A8">
      <w:pPr>
        <w:spacing w:after="240" w:line="240" w:lineRule="auto"/>
        <w:jc w:val="center"/>
        <w:textAlignment w:val="baseline"/>
        <w:outlineLvl w:val="1"/>
        <w:rPr>
          <w:rFonts w:ascii="Arial" w:eastAsia="Times New Roman" w:hAnsi="Arial" w:cs="Arial"/>
          <w:caps/>
          <w:color w:val="21543F"/>
          <w:kern w:val="0"/>
          <w:sz w:val="22"/>
          <w:szCs w:val="22"/>
          <w14:ligatures w14:val="none"/>
        </w:rPr>
      </w:pPr>
      <w:r w:rsidRPr="00B419A8">
        <w:rPr>
          <w:rFonts w:ascii="Arial" w:eastAsia="Times New Roman" w:hAnsi="Arial" w:cs="Arial"/>
          <w:caps/>
          <w:color w:val="21543F"/>
          <w:kern w:val="0"/>
          <w:sz w:val="22"/>
          <w:szCs w:val="22"/>
          <w14:ligatures w14:val="none"/>
        </w:rPr>
        <w:t>JOB DESCRIPTION</w:t>
      </w:r>
    </w:p>
    <w:p w14:paraId="3D96FD4C" w14:textId="77777777" w:rsidR="00B419A8" w:rsidRPr="00B419A8" w:rsidRDefault="00B419A8" w:rsidP="00B419A8">
      <w:pPr>
        <w:spacing w:beforeAutospacing="1" w:after="0" w:afterAutospacing="1"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color w:val="000000"/>
          <w:kern w:val="0"/>
          <w:sz w:val="22"/>
          <w:szCs w:val="22"/>
          <w:bdr w:val="none" w:sz="0" w:space="0" w:color="auto" w:frame="1"/>
          <w14:ligatures w14:val="none"/>
        </w:rPr>
        <w:t>The Director of the Transfer Credit Hub provides operational leadership for Tulane University’s centralized transfer credit articulation and transcript evaluation processes. The position oversees the development and maintenance of course equivalencies and supports institutional transfer pathways by coordinating transfer credit evaluation activities across academic departments.</w:t>
      </w:r>
    </w:p>
    <w:p w14:paraId="64801EF4" w14:textId="77777777" w:rsidR="00B419A8" w:rsidRPr="00B419A8" w:rsidRDefault="00B419A8" w:rsidP="00B419A8">
      <w:pPr>
        <w:spacing w:beforeAutospacing="1" w:after="0" w:afterAutospacing="1"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color w:val="000000"/>
          <w:kern w:val="0"/>
          <w:sz w:val="22"/>
          <w:szCs w:val="22"/>
          <w:bdr w:val="none" w:sz="0" w:space="0" w:color="auto" w:frame="1"/>
          <w14:ligatures w14:val="none"/>
        </w:rPr>
        <w:t>Working closely with the Office of Admission, academic advising units, and faculty leadership, this position ensures accurate, timely, and consistent evaluation of transfer coursework and maintains the institutional infrastructure that supports transfer articulation. The role supports institutional enrollment goals by expanding pre-approved transfer equivalencies and improving transparency for prospective and current transfer students.</w:t>
      </w:r>
    </w:p>
    <w:p w14:paraId="22306862" w14:textId="77777777" w:rsidR="00B419A8" w:rsidRPr="00B419A8" w:rsidRDefault="00B419A8" w:rsidP="00B419A8">
      <w:pPr>
        <w:spacing w:beforeAutospacing="1" w:after="0" w:afterAutospacing="1"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color w:val="000000"/>
          <w:kern w:val="0"/>
          <w:sz w:val="22"/>
          <w:szCs w:val="22"/>
          <w:bdr w:val="none" w:sz="0" w:space="0" w:color="auto" w:frame="1"/>
          <w14:ligatures w14:val="none"/>
        </w:rPr>
        <w:t>The incumbent oversees transfer articulation data and evaluation workflows within institutional systems including Banner, TES (Transfer Evaluation System), Transferology, and Raptor, ensuring accurate alignment between articulation rules, transfer evaluations, and student academic records.</w:t>
      </w:r>
      <w:r w:rsidRPr="00B419A8">
        <w:rPr>
          <w:rFonts w:ascii="inherit" w:eastAsia="Times New Roman" w:hAnsi="inherit" w:cs="Times New Roman"/>
          <w:color w:val="000000"/>
          <w:kern w:val="0"/>
          <w:sz w:val="22"/>
          <w:szCs w:val="22"/>
          <w:bdr w:val="none" w:sz="0" w:space="0" w:color="auto" w:frame="1"/>
          <w:shd w:val="clear" w:color="auto" w:fill="C6C6C6"/>
          <w14:ligatures w14:val="none"/>
        </w:rPr>
        <w:t> </w:t>
      </w:r>
    </w:p>
    <w:p w14:paraId="3621471A" w14:textId="77777777" w:rsidR="00B419A8" w:rsidRPr="00B419A8" w:rsidRDefault="00B419A8" w:rsidP="00B419A8">
      <w:pPr>
        <w:spacing w:beforeAutospacing="1" w:after="0" w:afterAutospacing="1"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color w:val="000000"/>
          <w:kern w:val="0"/>
          <w:sz w:val="22"/>
          <w:szCs w:val="22"/>
          <w:bdr w:val="none" w:sz="0" w:space="0" w:color="auto" w:frame="1"/>
          <w14:ligatures w14:val="none"/>
        </w:rPr>
        <w:t>The position supervises staff responsible for transfer articulation and transcript evaluation and collaborates with campus partners to maintain consistent transfer credit policies and procedures.</w:t>
      </w:r>
    </w:p>
    <w:p w14:paraId="35B17F92" w14:textId="77777777" w:rsidR="00B419A8" w:rsidRPr="00B419A8" w:rsidRDefault="00B419A8" w:rsidP="00B419A8">
      <w:pPr>
        <w:spacing w:after="240" w:line="240" w:lineRule="auto"/>
        <w:jc w:val="center"/>
        <w:textAlignment w:val="baseline"/>
        <w:outlineLvl w:val="1"/>
        <w:rPr>
          <w:rFonts w:ascii="Arial" w:eastAsia="Times New Roman" w:hAnsi="Arial" w:cs="Arial"/>
          <w:caps/>
          <w:color w:val="21543F"/>
          <w:kern w:val="0"/>
          <w:sz w:val="22"/>
          <w:szCs w:val="22"/>
          <w14:ligatures w14:val="none"/>
        </w:rPr>
      </w:pPr>
      <w:r w:rsidRPr="00B419A8">
        <w:rPr>
          <w:rFonts w:ascii="Arial" w:eastAsia="Times New Roman" w:hAnsi="Arial" w:cs="Arial"/>
          <w:caps/>
          <w:color w:val="21543F"/>
          <w:kern w:val="0"/>
          <w:sz w:val="22"/>
          <w:szCs w:val="22"/>
          <w14:ligatures w14:val="none"/>
        </w:rPr>
        <w:t>RESPONSIBILITIES</w:t>
      </w:r>
    </w:p>
    <w:p w14:paraId="7577D6AF" w14:textId="77777777" w:rsidR="00B419A8" w:rsidRPr="00B419A8" w:rsidRDefault="00B419A8" w:rsidP="00B419A8">
      <w:pPr>
        <w:numPr>
          <w:ilvl w:val="0"/>
          <w:numId w:val="1"/>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Knowledge of transfer credit evaluation best practices, articulation best practices, and academic records management within higher education registrar operations.</w:t>
      </w:r>
    </w:p>
    <w:p w14:paraId="1173DED4" w14:textId="77777777" w:rsidR="00B419A8" w:rsidRPr="00B419A8" w:rsidRDefault="00B419A8" w:rsidP="00B419A8">
      <w:pPr>
        <w:numPr>
          <w:ilvl w:val="0"/>
          <w:numId w:val="2"/>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Knowledge of university academic policies, industry standards, and compliance requirements, including FERPA.</w:t>
      </w:r>
    </w:p>
    <w:p w14:paraId="25382A08" w14:textId="77777777" w:rsidR="00B419A8" w:rsidRPr="00B419A8" w:rsidRDefault="00B419A8" w:rsidP="00B419A8">
      <w:pPr>
        <w:numPr>
          <w:ilvl w:val="0"/>
          <w:numId w:val="3"/>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Ability to interpret academic catalogs, policies, and course descriptions </w:t>
      </w:r>
      <w:proofErr w:type="gramStart"/>
      <w:r w:rsidRPr="00B419A8">
        <w:rPr>
          <w:rFonts w:ascii="inherit" w:eastAsia="Times New Roman" w:hAnsi="inherit" w:cs="Times New Roman"/>
          <w:kern w:val="0"/>
          <w:sz w:val="22"/>
          <w:szCs w:val="22"/>
          <w:bdr w:val="none" w:sz="0" w:space="0" w:color="auto" w:frame="1"/>
          <w14:ligatures w14:val="none"/>
        </w:rPr>
        <w:t>in order to</w:t>
      </w:r>
      <w:proofErr w:type="gramEnd"/>
      <w:r w:rsidRPr="00B419A8">
        <w:rPr>
          <w:rFonts w:ascii="inherit" w:eastAsia="Times New Roman" w:hAnsi="inherit" w:cs="Times New Roman"/>
          <w:kern w:val="0"/>
          <w:sz w:val="22"/>
          <w:szCs w:val="22"/>
          <w:bdr w:val="none" w:sz="0" w:space="0" w:color="auto" w:frame="1"/>
          <w14:ligatures w14:val="none"/>
        </w:rPr>
        <w:t> determine transfer credit equivalencies.</w:t>
      </w:r>
    </w:p>
    <w:p w14:paraId="76B14587" w14:textId="77777777" w:rsidR="00B419A8" w:rsidRPr="00B419A8" w:rsidRDefault="00B419A8" w:rsidP="00B419A8">
      <w:pPr>
        <w:numPr>
          <w:ilvl w:val="0"/>
          <w:numId w:val="4"/>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Experience working with student information systems, preferably Banner, and supporting student-focused administrative technologies.</w:t>
      </w:r>
    </w:p>
    <w:p w14:paraId="09C536F8" w14:textId="77777777" w:rsidR="00B419A8" w:rsidRPr="00B419A8" w:rsidRDefault="00B419A8" w:rsidP="00B419A8">
      <w:pPr>
        <w:numPr>
          <w:ilvl w:val="0"/>
          <w:numId w:val="5"/>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Strong analytical and problem-solving skills with attention to detail.</w:t>
      </w:r>
    </w:p>
    <w:p w14:paraId="6DDA835C" w14:textId="77777777" w:rsidR="00B419A8" w:rsidRPr="00B419A8" w:rsidRDefault="00B419A8" w:rsidP="00B419A8">
      <w:pPr>
        <w:numPr>
          <w:ilvl w:val="0"/>
          <w:numId w:val="6"/>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Ability to analyze transfer data and identify opportunities to improve operational processes and support enrollment initiatives.</w:t>
      </w:r>
    </w:p>
    <w:p w14:paraId="72EE5442" w14:textId="77777777" w:rsidR="00B419A8" w:rsidRPr="00B419A8" w:rsidRDefault="00B419A8" w:rsidP="00B419A8">
      <w:pPr>
        <w:numPr>
          <w:ilvl w:val="0"/>
          <w:numId w:val="7"/>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Strong organizational and time management skills with the ability to balance multiple priorities and manage complex workflows.</w:t>
      </w:r>
    </w:p>
    <w:p w14:paraId="3C236123" w14:textId="77777777" w:rsidR="00B419A8" w:rsidRPr="00B419A8" w:rsidRDefault="00B419A8" w:rsidP="00B419A8">
      <w:pPr>
        <w:numPr>
          <w:ilvl w:val="0"/>
          <w:numId w:val="8"/>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Ability to collaborate effectively with faculty, advisors, and administrative offices across the university.</w:t>
      </w:r>
    </w:p>
    <w:p w14:paraId="34524A9E" w14:textId="77777777" w:rsidR="00B419A8" w:rsidRPr="00B419A8" w:rsidRDefault="00B419A8" w:rsidP="00B419A8">
      <w:pPr>
        <w:numPr>
          <w:ilvl w:val="0"/>
          <w:numId w:val="9"/>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Strong written and verbal communication skills.</w:t>
      </w:r>
    </w:p>
    <w:p w14:paraId="54054D23" w14:textId="77777777" w:rsidR="00B419A8" w:rsidRPr="00B419A8" w:rsidRDefault="00B419A8" w:rsidP="00B419A8">
      <w:pPr>
        <w:numPr>
          <w:ilvl w:val="0"/>
          <w:numId w:val="10"/>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Ability to exercise sound judgment, interpret institutional policies, and work independently in resolving complex issues.</w:t>
      </w:r>
    </w:p>
    <w:p w14:paraId="6A6D2B54" w14:textId="77777777" w:rsidR="00B419A8" w:rsidRPr="00B419A8" w:rsidRDefault="00B419A8" w:rsidP="00B419A8">
      <w:pPr>
        <w:numPr>
          <w:ilvl w:val="0"/>
          <w:numId w:val="11"/>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Demonstrated ability to supervise, lead, and manage a team, including setting priorities, providing guidance and professional development, and ensuring effective coordination of operational workflows.</w:t>
      </w:r>
    </w:p>
    <w:p w14:paraId="792419C4" w14:textId="77777777" w:rsidR="00B419A8" w:rsidRPr="00B419A8" w:rsidRDefault="00B419A8" w:rsidP="00B419A8">
      <w:pPr>
        <w:numPr>
          <w:ilvl w:val="0"/>
          <w:numId w:val="12"/>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Demonstrated commitment to providing excellent service and support to students, faculty, and staff.</w:t>
      </w:r>
    </w:p>
    <w:p w14:paraId="78FD75C0" w14:textId="77777777" w:rsidR="00B419A8" w:rsidRPr="00B419A8" w:rsidRDefault="00B419A8" w:rsidP="00B419A8">
      <w:pPr>
        <w:numPr>
          <w:ilvl w:val="0"/>
          <w:numId w:val="13"/>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Proficiency with Microsoft Office or comparable productivity tools.</w:t>
      </w:r>
    </w:p>
    <w:p w14:paraId="2E9B4934" w14:textId="77777777" w:rsidR="00B419A8" w:rsidRPr="00B419A8" w:rsidRDefault="00B419A8" w:rsidP="00B419A8">
      <w:pPr>
        <w:spacing w:after="240" w:line="240" w:lineRule="auto"/>
        <w:jc w:val="center"/>
        <w:textAlignment w:val="baseline"/>
        <w:outlineLvl w:val="1"/>
        <w:rPr>
          <w:rFonts w:ascii="Arial" w:eastAsia="Times New Roman" w:hAnsi="Arial" w:cs="Arial"/>
          <w:caps/>
          <w:color w:val="21543F"/>
          <w:kern w:val="0"/>
          <w:sz w:val="22"/>
          <w:szCs w:val="22"/>
          <w14:ligatures w14:val="none"/>
        </w:rPr>
      </w:pPr>
      <w:r w:rsidRPr="00B419A8">
        <w:rPr>
          <w:rFonts w:ascii="Arial" w:eastAsia="Times New Roman" w:hAnsi="Arial" w:cs="Arial"/>
          <w:caps/>
          <w:color w:val="21543F"/>
          <w:kern w:val="0"/>
          <w:sz w:val="22"/>
          <w:szCs w:val="22"/>
          <w14:ligatures w14:val="none"/>
        </w:rPr>
        <w:t>QUALIFICATIONS</w:t>
      </w:r>
    </w:p>
    <w:p w14:paraId="16540C83" w14:textId="77777777" w:rsidR="00B419A8" w:rsidRPr="00B419A8" w:rsidRDefault="00B419A8" w:rsidP="00B419A8">
      <w:pPr>
        <w:spacing w:after="0"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b/>
          <w:bCs/>
          <w:kern w:val="0"/>
          <w:sz w:val="22"/>
          <w:szCs w:val="22"/>
          <w:bdr w:val="none" w:sz="0" w:space="0" w:color="auto" w:frame="1"/>
          <w14:ligatures w14:val="none"/>
        </w:rPr>
        <w:lastRenderedPageBreak/>
        <w:t>Required Education and Experience:</w:t>
      </w:r>
    </w:p>
    <w:p w14:paraId="3170AF0B" w14:textId="77777777" w:rsidR="00B419A8" w:rsidRPr="00B419A8" w:rsidRDefault="00B419A8" w:rsidP="00B419A8">
      <w:pPr>
        <w:numPr>
          <w:ilvl w:val="0"/>
          <w:numId w:val="14"/>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Bachelor’s degree</w:t>
      </w:r>
    </w:p>
    <w:p w14:paraId="4AF80E57" w14:textId="77777777" w:rsidR="00B419A8" w:rsidRPr="00B419A8" w:rsidRDefault="00B419A8" w:rsidP="00B419A8">
      <w:pPr>
        <w:numPr>
          <w:ilvl w:val="0"/>
          <w:numId w:val="15"/>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Five (5) years of experience in registrar operations, transfer credit evaluation, academic records administration, or related higher education functions</w:t>
      </w:r>
    </w:p>
    <w:p w14:paraId="294AF52D" w14:textId="77777777" w:rsidR="00B419A8" w:rsidRPr="00B419A8" w:rsidRDefault="00B419A8" w:rsidP="00B419A8">
      <w:pPr>
        <w:numPr>
          <w:ilvl w:val="0"/>
          <w:numId w:val="16"/>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Experience working with enterprise student information systems such as Banner or comparable systems</w:t>
      </w:r>
    </w:p>
    <w:p w14:paraId="3BAC8375" w14:textId="77777777" w:rsidR="00B419A8" w:rsidRPr="00B419A8" w:rsidRDefault="00B419A8" w:rsidP="00B419A8">
      <w:pPr>
        <w:spacing w:after="0"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Segoe UI"/>
          <w:kern w:val="0"/>
          <w:sz w:val="22"/>
          <w:szCs w:val="22"/>
          <w14:ligatures w14:val="none"/>
        </w:rPr>
        <w:t> </w:t>
      </w:r>
    </w:p>
    <w:p w14:paraId="643BFD9D" w14:textId="77777777" w:rsidR="00B419A8" w:rsidRPr="00B419A8" w:rsidRDefault="00B419A8" w:rsidP="00B419A8">
      <w:pPr>
        <w:spacing w:after="0" w:line="240" w:lineRule="auto"/>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b/>
          <w:bCs/>
          <w:kern w:val="0"/>
          <w:sz w:val="22"/>
          <w:szCs w:val="22"/>
          <w:bdr w:val="none" w:sz="0" w:space="0" w:color="auto" w:frame="1"/>
          <w14:ligatures w14:val="none"/>
        </w:rPr>
        <w:t>Preferred Qualifications:  </w:t>
      </w:r>
    </w:p>
    <w:p w14:paraId="6C7D4F44" w14:textId="77777777" w:rsidR="00B419A8" w:rsidRPr="00B419A8" w:rsidRDefault="00B419A8" w:rsidP="00B419A8">
      <w:pPr>
        <w:numPr>
          <w:ilvl w:val="0"/>
          <w:numId w:val="17"/>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Master’s degree in higher education administration or related field</w:t>
      </w:r>
    </w:p>
    <w:p w14:paraId="1E56DEBD" w14:textId="77777777" w:rsidR="00B419A8" w:rsidRPr="00B419A8" w:rsidRDefault="00B419A8" w:rsidP="00B419A8">
      <w:pPr>
        <w:numPr>
          <w:ilvl w:val="0"/>
          <w:numId w:val="18"/>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Experience using transfer articulation tools such as TES (Transfer Evaluation System)</w:t>
      </w:r>
      <w:r w:rsidRPr="00B419A8">
        <w:rPr>
          <w:rFonts w:ascii="inherit" w:eastAsia="Times New Roman" w:hAnsi="inherit" w:cs="Times New Roman"/>
          <w:b/>
          <w:bCs/>
          <w:kern w:val="0"/>
          <w:sz w:val="22"/>
          <w:szCs w:val="22"/>
          <w:bdr w:val="none" w:sz="0" w:space="0" w:color="auto" w:frame="1"/>
          <w14:ligatures w14:val="none"/>
        </w:rPr>
        <w:t>, </w:t>
      </w:r>
      <w:r w:rsidRPr="00B419A8">
        <w:rPr>
          <w:rFonts w:ascii="inherit" w:eastAsia="Times New Roman" w:hAnsi="inherit" w:cs="Times New Roman"/>
          <w:kern w:val="0"/>
          <w:sz w:val="22"/>
          <w:szCs w:val="22"/>
          <w:bdr w:val="none" w:sz="0" w:space="0" w:color="auto" w:frame="1"/>
          <w14:ligatures w14:val="none"/>
        </w:rPr>
        <w:t>Transferology and Raptor</w:t>
      </w:r>
    </w:p>
    <w:p w14:paraId="05ABB5E1" w14:textId="77777777" w:rsidR="00B419A8" w:rsidRPr="00B419A8" w:rsidRDefault="00B419A8" w:rsidP="00B419A8">
      <w:pPr>
        <w:numPr>
          <w:ilvl w:val="0"/>
          <w:numId w:val="19"/>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Experience developing articulation agreements or transfer pathway programs</w:t>
      </w:r>
    </w:p>
    <w:p w14:paraId="276D3B93" w14:textId="77777777" w:rsidR="00B419A8" w:rsidRPr="00B419A8" w:rsidRDefault="00B419A8" w:rsidP="00B419A8">
      <w:pPr>
        <w:numPr>
          <w:ilvl w:val="0"/>
          <w:numId w:val="20"/>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Supervisory experience within a Registrar or enrollment services environment</w:t>
      </w:r>
    </w:p>
    <w:p w14:paraId="24935124" w14:textId="77777777" w:rsidR="00B419A8" w:rsidRPr="00B419A8" w:rsidRDefault="00B419A8" w:rsidP="00B419A8">
      <w:pPr>
        <w:numPr>
          <w:ilvl w:val="0"/>
          <w:numId w:val="21"/>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Experience operating in an Agile project management environment. </w:t>
      </w:r>
    </w:p>
    <w:p w14:paraId="429CAAA5" w14:textId="77777777" w:rsidR="00B419A8" w:rsidRPr="00B419A8" w:rsidRDefault="00B419A8" w:rsidP="00B419A8">
      <w:pPr>
        <w:numPr>
          <w:ilvl w:val="0"/>
          <w:numId w:val="22"/>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Proficiency in Banner.</w:t>
      </w:r>
    </w:p>
    <w:p w14:paraId="0F4B4A3F" w14:textId="77777777" w:rsidR="00B419A8" w:rsidRPr="00B419A8" w:rsidRDefault="00B419A8" w:rsidP="00B419A8">
      <w:pPr>
        <w:numPr>
          <w:ilvl w:val="0"/>
          <w:numId w:val="23"/>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kern w:val="0"/>
          <w:sz w:val="22"/>
          <w:szCs w:val="22"/>
          <w:bdr w:val="none" w:sz="0" w:space="0" w:color="auto" w:frame="1"/>
          <w14:ligatures w14:val="none"/>
        </w:rPr>
        <w:t>System knowledge of </w:t>
      </w:r>
      <w:proofErr w:type="spellStart"/>
      <w:r w:rsidRPr="00B419A8">
        <w:rPr>
          <w:rFonts w:ascii="inherit" w:eastAsia="Times New Roman" w:hAnsi="inherit" w:cs="Times New Roman"/>
          <w:kern w:val="0"/>
          <w:sz w:val="22"/>
          <w:szCs w:val="22"/>
          <w:bdr w:val="none" w:sz="0" w:space="0" w:color="auto" w:frame="1"/>
          <w14:ligatures w14:val="none"/>
        </w:rPr>
        <w:t>DegreeWorks</w:t>
      </w:r>
      <w:proofErr w:type="spellEnd"/>
      <w:r w:rsidRPr="00B419A8">
        <w:rPr>
          <w:rFonts w:ascii="inherit" w:eastAsia="Times New Roman" w:hAnsi="inherit" w:cs="Times New Roman"/>
          <w:kern w:val="0"/>
          <w:sz w:val="22"/>
          <w:szCs w:val="22"/>
          <w:bdr w:val="none" w:sz="0" w:space="0" w:color="auto" w:frame="1"/>
          <w14:ligatures w14:val="none"/>
        </w:rPr>
        <w:t>, IBM Cognos, and/or similar Higher Education software systems used to support Registrar operations. </w:t>
      </w:r>
    </w:p>
    <w:p w14:paraId="566BFF3E" w14:textId="77777777" w:rsidR="00B419A8" w:rsidRPr="00B419A8" w:rsidRDefault="00B419A8" w:rsidP="00B419A8">
      <w:pPr>
        <w:numPr>
          <w:ilvl w:val="0"/>
          <w:numId w:val="24"/>
        </w:numPr>
        <w:spacing w:after="0" w:line="240" w:lineRule="auto"/>
        <w:ind w:firstLine="0"/>
        <w:textAlignment w:val="baseline"/>
        <w:rPr>
          <w:rFonts w:ascii="inherit" w:eastAsia="Times New Roman" w:hAnsi="inherit" w:cs="Segoe UI"/>
          <w:kern w:val="0"/>
          <w:sz w:val="22"/>
          <w:szCs w:val="22"/>
          <w14:ligatures w14:val="none"/>
        </w:rPr>
      </w:pPr>
      <w:r w:rsidRPr="00B419A8">
        <w:rPr>
          <w:rFonts w:ascii="inherit" w:eastAsia="Times New Roman" w:hAnsi="inherit" w:cs="Times New Roman"/>
          <w:color w:val="000000"/>
          <w:kern w:val="0"/>
          <w:sz w:val="22"/>
          <w:szCs w:val="22"/>
          <w:bdr w:val="none" w:sz="0" w:space="0" w:color="auto" w:frame="1"/>
          <w14:ligatures w14:val="none"/>
        </w:rPr>
        <w:t>Ability to interpret technical documentation for functional users. </w:t>
      </w:r>
    </w:p>
    <w:p w14:paraId="082BDBBF" w14:textId="77777777" w:rsidR="00B419A8" w:rsidRPr="00B419A8" w:rsidRDefault="00B419A8" w:rsidP="00B419A8">
      <w:pPr>
        <w:spacing w:after="240" w:line="240" w:lineRule="auto"/>
        <w:jc w:val="center"/>
        <w:textAlignment w:val="baseline"/>
        <w:outlineLvl w:val="1"/>
        <w:rPr>
          <w:rFonts w:ascii="Arial" w:eastAsia="Times New Roman" w:hAnsi="Arial" w:cs="Arial"/>
          <w:caps/>
          <w:color w:val="21543F"/>
          <w:kern w:val="0"/>
          <w:sz w:val="22"/>
          <w:szCs w:val="22"/>
          <w14:ligatures w14:val="none"/>
        </w:rPr>
      </w:pPr>
      <w:r w:rsidRPr="00B419A8">
        <w:rPr>
          <w:rFonts w:ascii="Arial" w:eastAsia="Times New Roman" w:hAnsi="Arial" w:cs="Arial"/>
          <w:caps/>
          <w:color w:val="21543F"/>
          <w:kern w:val="0"/>
          <w:sz w:val="22"/>
          <w:szCs w:val="22"/>
          <w14:ligatures w14:val="none"/>
        </w:rPr>
        <w:t>ABOUT US</w:t>
      </w:r>
    </w:p>
    <w:p w14:paraId="1599E949" w14:textId="77777777" w:rsidR="00B419A8" w:rsidRPr="00B419A8" w:rsidRDefault="00B419A8" w:rsidP="00B419A8">
      <w:pPr>
        <w:spacing w:after="0" w:line="240" w:lineRule="auto"/>
        <w:textAlignment w:val="baseline"/>
        <w:rPr>
          <w:rFonts w:ascii="inherit" w:eastAsia="Times New Roman" w:hAnsi="inherit" w:cs="Arial"/>
          <w:color w:val="54585A"/>
          <w:kern w:val="0"/>
          <w:sz w:val="22"/>
          <w:szCs w:val="22"/>
          <w14:ligatures w14:val="none"/>
        </w:rPr>
      </w:pPr>
      <w:r w:rsidRPr="00B419A8">
        <w:rPr>
          <w:rFonts w:ascii="inherit" w:eastAsia="Times New Roman" w:hAnsi="inherit" w:cs="Arial"/>
          <w:color w:val="54585A"/>
          <w:kern w:val="0"/>
          <w:sz w:val="22"/>
          <w:szCs w:val="22"/>
          <w14:ligatures w14:val="none"/>
        </w:rPr>
        <w:t>Tulane University is an equal opportunity educator and employer committed to providing an education and employment environment free of unlawful discrimination, harassment, and retaliation. Legally protected demographic classifications (such as a person’s race, color, religion, age, sex, national origin, shared ancestry, disability, genetics, veteran status, or any other characteristic protected by federal, state, or local laws) are not relied upon as an eligibility, selection or participation criteria for Tulane’s employment or educational programs or activities.</w:t>
      </w:r>
      <w:r w:rsidRPr="00B419A8">
        <w:rPr>
          <w:rFonts w:ascii="inherit" w:eastAsia="Times New Roman" w:hAnsi="inherit" w:cs="Arial"/>
          <w:color w:val="54585A"/>
          <w:kern w:val="0"/>
          <w:sz w:val="22"/>
          <w:szCs w:val="22"/>
          <w14:ligatures w14:val="none"/>
        </w:rPr>
        <w:br/>
      </w:r>
      <w:r w:rsidRPr="00B419A8">
        <w:rPr>
          <w:rFonts w:ascii="inherit" w:eastAsia="Times New Roman" w:hAnsi="inherit" w:cs="Arial"/>
          <w:color w:val="54585A"/>
          <w:kern w:val="0"/>
          <w:sz w:val="22"/>
          <w:szCs w:val="22"/>
          <w14:ligatures w14:val="none"/>
        </w:rPr>
        <w:br/>
        <w:t>Tulane University is responsible for providing reasonable accommodations to individuals with disabilities throughout the applicant screening process. If you need assistance in completing an application or during any phase of the interview process, please contact the Office of Human Resources by phone at 504-865-4748 or by email at </w:t>
      </w:r>
      <w:hyperlink r:id="rId5" w:tgtFrame="_blank" w:history="1">
        <w:r w:rsidRPr="00B419A8">
          <w:rPr>
            <w:rFonts w:ascii="inherit" w:eastAsia="Times New Roman" w:hAnsi="inherit" w:cs="Arial"/>
            <w:color w:val="0000FF"/>
            <w:kern w:val="0"/>
            <w:sz w:val="22"/>
            <w:szCs w:val="22"/>
            <w:bdr w:val="none" w:sz="0" w:space="0" w:color="auto" w:frame="1"/>
            <w14:ligatures w14:val="none"/>
          </w:rPr>
          <w:t>hr@tulane.edu</w:t>
        </w:r>
      </w:hyperlink>
      <w:r w:rsidRPr="00B419A8">
        <w:rPr>
          <w:rFonts w:ascii="inherit" w:eastAsia="Times New Roman" w:hAnsi="inherit" w:cs="Arial"/>
          <w:color w:val="54585A"/>
          <w:kern w:val="0"/>
          <w:sz w:val="22"/>
          <w:szCs w:val="22"/>
          <w14:ligatures w14:val="none"/>
        </w:rPr>
        <w:t>.</w:t>
      </w:r>
    </w:p>
    <w:p w14:paraId="5DEE5CFB" w14:textId="77777777" w:rsidR="00A31E20" w:rsidRDefault="00A31E20"/>
    <w:sectPr w:rsidR="00A31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269"/>
    <w:multiLevelType w:val="multilevel"/>
    <w:tmpl w:val="ACA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0532F"/>
    <w:multiLevelType w:val="multilevel"/>
    <w:tmpl w:val="FC0C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0D96"/>
    <w:multiLevelType w:val="multilevel"/>
    <w:tmpl w:val="A95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344B3"/>
    <w:multiLevelType w:val="multilevel"/>
    <w:tmpl w:val="96C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B0BB5"/>
    <w:multiLevelType w:val="multilevel"/>
    <w:tmpl w:val="843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C03FE"/>
    <w:multiLevelType w:val="multilevel"/>
    <w:tmpl w:val="9C2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F792D"/>
    <w:multiLevelType w:val="multilevel"/>
    <w:tmpl w:val="31A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84E25"/>
    <w:multiLevelType w:val="multilevel"/>
    <w:tmpl w:val="5DD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82833"/>
    <w:multiLevelType w:val="multilevel"/>
    <w:tmpl w:val="E3F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7264C"/>
    <w:multiLevelType w:val="multilevel"/>
    <w:tmpl w:val="B3B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28303A"/>
    <w:multiLevelType w:val="multilevel"/>
    <w:tmpl w:val="DB10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923EE"/>
    <w:multiLevelType w:val="multilevel"/>
    <w:tmpl w:val="55A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0FA4"/>
    <w:multiLevelType w:val="multilevel"/>
    <w:tmpl w:val="94E6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5F3C2B"/>
    <w:multiLevelType w:val="multilevel"/>
    <w:tmpl w:val="D6B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149FB"/>
    <w:multiLevelType w:val="multilevel"/>
    <w:tmpl w:val="B000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E0AE9"/>
    <w:multiLevelType w:val="multilevel"/>
    <w:tmpl w:val="9E6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05F62"/>
    <w:multiLevelType w:val="multilevel"/>
    <w:tmpl w:val="E86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554C1"/>
    <w:multiLevelType w:val="multilevel"/>
    <w:tmpl w:val="58A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A41BB"/>
    <w:multiLevelType w:val="multilevel"/>
    <w:tmpl w:val="DB5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D48A7"/>
    <w:multiLevelType w:val="multilevel"/>
    <w:tmpl w:val="F9B8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A39E2"/>
    <w:multiLevelType w:val="multilevel"/>
    <w:tmpl w:val="7F7E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571BC"/>
    <w:multiLevelType w:val="multilevel"/>
    <w:tmpl w:val="F7D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892A52"/>
    <w:multiLevelType w:val="multilevel"/>
    <w:tmpl w:val="6CD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B0F37"/>
    <w:multiLevelType w:val="multilevel"/>
    <w:tmpl w:val="C14C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3610">
    <w:abstractNumId w:val="13"/>
  </w:num>
  <w:num w:numId="2" w16cid:durableId="1030494199">
    <w:abstractNumId w:val="11"/>
  </w:num>
  <w:num w:numId="3" w16cid:durableId="1501575700">
    <w:abstractNumId w:val="4"/>
  </w:num>
  <w:num w:numId="4" w16cid:durableId="195314796">
    <w:abstractNumId w:val="19"/>
  </w:num>
  <w:num w:numId="5" w16cid:durableId="1941717760">
    <w:abstractNumId w:val="6"/>
  </w:num>
  <w:num w:numId="6" w16cid:durableId="691414392">
    <w:abstractNumId w:val="1"/>
  </w:num>
  <w:num w:numId="7" w16cid:durableId="579674313">
    <w:abstractNumId w:val="5"/>
  </w:num>
  <w:num w:numId="8" w16cid:durableId="664631776">
    <w:abstractNumId w:val="22"/>
  </w:num>
  <w:num w:numId="9" w16cid:durableId="519705179">
    <w:abstractNumId w:val="16"/>
  </w:num>
  <w:num w:numId="10" w16cid:durableId="1069771117">
    <w:abstractNumId w:val="23"/>
  </w:num>
  <w:num w:numId="11" w16cid:durableId="1531340586">
    <w:abstractNumId w:val="12"/>
  </w:num>
  <w:num w:numId="12" w16cid:durableId="724065758">
    <w:abstractNumId w:val="3"/>
  </w:num>
  <w:num w:numId="13" w16cid:durableId="2045327157">
    <w:abstractNumId w:val="15"/>
  </w:num>
  <w:num w:numId="14" w16cid:durableId="370157268">
    <w:abstractNumId w:val="8"/>
  </w:num>
  <w:num w:numId="15" w16cid:durableId="550531642">
    <w:abstractNumId w:val="17"/>
  </w:num>
  <w:num w:numId="16" w16cid:durableId="2146851280">
    <w:abstractNumId w:val="18"/>
  </w:num>
  <w:num w:numId="17" w16cid:durableId="716860740">
    <w:abstractNumId w:val="14"/>
  </w:num>
  <w:num w:numId="18" w16cid:durableId="294989243">
    <w:abstractNumId w:val="7"/>
  </w:num>
  <w:num w:numId="19" w16cid:durableId="1874346891">
    <w:abstractNumId w:val="2"/>
  </w:num>
  <w:num w:numId="20" w16cid:durableId="430125929">
    <w:abstractNumId w:val="20"/>
  </w:num>
  <w:num w:numId="21" w16cid:durableId="1138958689">
    <w:abstractNumId w:val="0"/>
  </w:num>
  <w:num w:numId="22" w16cid:durableId="316810637">
    <w:abstractNumId w:val="10"/>
  </w:num>
  <w:num w:numId="23" w16cid:durableId="1039359378">
    <w:abstractNumId w:val="9"/>
  </w:num>
  <w:num w:numId="24" w16cid:durableId="8021641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A8"/>
    <w:rsid w:val="00112322"/>
    <w:rsid w:val="00A31E20"/>
    <w:rsid w:val="00A522A8"/>
    <w:rsid w:val="00B419A8"/>
    <w:rsid w:val="00D9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01F92"/>
  <w15:chartTrackingRefBased/>
  <w15:docId w15:val="{26072EDA-BE37-0D40-A931-59C366AC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1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9A8"/>
    <w:rPr>
      <w:rFonts w:eastAsiaTheme="majorEastAsia" w:cstheme="majorBidi"/>
      <w:color w:val="272727" w:themeColor="text1" w:themeTint="D8"/>
    </w:rPr>
  </w:style>
  <w:style w:type="paragraph" w:styleId="Title">
    <w:name w:val="Title"/>
    <w:basedOn w:val="Normal"/>
    <w:next w:val="Normal"/>
    <w:link w:val="TitleChar"/>
    <w:uiPriority w:val="10"/>
    <w:qFormat/>
    <w:rsid w:val="00B4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9A8"/>
    <w:pPr>
      <w:spacing w:before="160"/>
      <w:jc w:val="center"/>
    </w:pPr>
    <w:rPr>
      <w:i/>
      <w:iCs/>
      <w:color w:val="404040" w:themeColor="text1" w:themeTint="BF"/>
    </w:rPr>
  </w:style>
  <w:style w:type="character" w:customStyle="1" w:styleId="QuoteChar">
    <w:name w:val="Quote Char"/>
    <w:basedOn w:val="DefaultParagraphFont"/>
    <w:link w:val="Quote"/>
    <w:uiPriority w:val="29"/>
    <w:rsid w:val="00B419A8"/>
    <w:rPr>
      <w:i/>
      <w:iCs/>
      <w:color w:val="404040" w:themeColor="text1" w:themeTint="BF"/>
    </w:rPr>
  </w:style>
  <w:style w:type="paragraph" w:styleId="ListParagraph">
    <w:name w:val="List Paragraph"/>
    <w:basedOn w:val="Normal"/>
    <w:uiPriority w:val="34"/>
    <w:qFormat/>
    <w:rsid w:val="00B419A8"/>
    <w:pPr>
      <w:ind w:left="720"/>
      <w:contextualSpacing/>
    </w:pPr>
  </w:style>
  <w:style w:type="character" w:styleId="IntenseEmphasis">
    <w:name w:val="Intense Emphasis"/>
    <w:basedOn w:val="DefaultParagraphFont"/>
    <w:uiPriority w:val="21"/>
    <w:qFormat/>
    <w:rsid w:val="00B419A8"/>
    <w:rPr>
      <w:i/>
      <w:iCs/>
      <w:color w:val="0F4761" w:themeColor="accent1" w:themeShade="BF"/>
    </w:rPr>
  </w:style>
  <w:style w:type="paragraph" w:styleId="IntenseQuote">
    <w:name w:val="Intense Quote"/>
    <w:basedOn w:val="Normal"/>
    <w:next w:val="Normal"/>
    <w:link w:val="IntenseQuoteChar"/>
    <w:uiPriority w:val="30"/>
    <w:qFormat/>
    <w:rsid w:val="00B4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9A8"/>
    <w:rPr>
      <w:i/>
      <w:iCs/>
      <w:color w:val="0F4761" w:themeColor="accent1" w:themeShade="BF"/>
    </w:rPr>
  </w:style>
  <w:style w:type="character" w:styleId="IntenseReference">
    <w:name w:val="Intense Reference"/>
    <w:basedOn w:val="DefaultParagraphFont"/>
    <w:uiPriority w:val="32"/>
    <w:qFormat/>
    <w:rsid w:val="00B419A8"/>
    <w:rPr>
      <w:b/>
      <w:bCs/>
      <w:smallCaps/>
      <w:color w:val="0F4761" w:themeColor="accent1" w:themeShade="BF"/>
      <w:spacing w:val="5"/>
    </w:rPr>
  </w:style>
  <w:style w:type="paragraph" w:customStyle="1" w:styleId="paragraph">
    <w:name w:val="paragraph"/>
    <w:basedOn w:val="Normal"/>
    <w:rsid w:val="00B419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B419A8"/>
  </w:style>
  <w:style w:type="character" w:customStyle="1" w:styleId="apple-converted-space">
    <w:name w:val="apple-converted-space"/>
    <w:basedOn w:val="DefaultParagraphFont"/>
    <w:rsid w:val="00B419A8"/>
  </w:style>
  <w:style w:type="character" w:customStyle="1" w:styleId="eop">
    <w:name w:val="eop"/>
    <w:basedOn w:val="DefaultParagraphFont"/>
    <w:rsid w:val="00B419A8"/>
  </w:style>
  <w:style w:type="character" w:styleId="Strong">
    <w:name w:val="Strong"/>
    <w:basedOn w:val="DefaultParagraphFont"/>
    <w:uiPriority w:val="22"/>
    <w:qFormat/>
    <w:rsid w:val="00B419A8"/>
    <w:rPr>
      <w:b/>
      <w:bCs/>
    </w:rPr>
  </w:style>
  <w:style w:type="character" w:styleId="Hyperlink">
    <w:name w:val="Hyperlink"/>
    <w:basedOn w:val="DefaultParagraphFont"/>
    <w:uiPriority w:val="99"/>
    <w:semiHidden/>
    <w:unhideWhenUsed/>
    <w:rsid w:val="00B41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tulan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Raphel, Colette P</dc:creator>
  <cp:keywords/>
  <dc:description/>
  <cp:lastModifiedBy>Raphel, Colette P</cp:lastModifiedBy>
  <cp:revision>1</cp:revision>
  <dcterms:created xsi:type="dcterms:W3CDTF">2026-05-13T22:20:00Z</dcterms:created>
  <dcterms:modified xsi:type="dcterms:W3CDTF">2026-05-13T22:21:00Z</dcterms:modified>
</cp:coreProperties>
</file>