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B5B9" w14:textId="77777777" w:rsidR="00901977" w:rsidRPr="00901977" w:rsidRDefault="00901977" w:rsidP="00901977">
      <w:pPr>
        <w:shd w:val="clear" w:color="auto" w:fill="FFFFFF"/>
        <w:spacing w:before="315" w:after="158" w:line="240" w:lineRule="auto"/>
        <w:outlineLvl w:val="2"/>
        <w:rPr>
          <w:rFonts w:ascii="Noto Sans" w:eastAsia="Times New Roman" w:hAnsi="Noto Sans" w:cs="Noto Sans"/>
          <w:color w:val="515151"/>
          <w:kern w:val="0"/>
          <w:sz w:val="36"/>
          <w:szCs w:val="36"/>
          <w14:ligatures w14:val="none"/>
        </w:rPr>
      </w:pPr>
      <w:r w:rsidRPr="00901977">
        <w:rPr>
          <w:rFonts w:ascii="Noto Sans" w:eastAsia="Times New Roman" w:hAnsi="Noto Sans" w:cs="Noto Sans"/>
          <w:color w:val="515151"/>
          <w:kern w:val="0"/>
          <w:sz w:val="36"/>
          <w:szCs w:val="36"/>
          <w14:ligatures w14:val="none"/>
        </w:rPr>
        <w:t>Description</w:t>
      </w:r>
    </w:p>
    <w:p w14:paraId="16C76210"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The anticipated hiring range for this position is $65,000 to $75,000.  Hiring offers will be determined based on the final candidate’s qualifications and experience.  The recruiter can share more information about what the anticipated hiring salary would be based upon your specific qualifications during the selection process. </w:t>
      </w:r>
    </w:p>
    <w:p w14:paraId="7A09C0EC"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The CIA offers a substantial benefits package that includes </w:t>
      </w:r>
      <w:r w:rsidRPr="00901977">
        <w:rPr>
          <w:rFonts w:ascii="Noto Sans" w:eastAsia="Times New Roman" w:hAnsi="Noto Sans" w:cs="Noto Sans"/>
          <w:b/>
          <w:bCs/>
          <w:color w:val="515151"/>
          <w:kern w:val="0"/>
          <w:sz w:val="23"/>
          <w:szCs w:val="23"/>
          <w14:ligatures w14:val="none"/>
        </w:rPr>
        <w:t>medical coverage available at no cost</w:t>
      </w:r>
      <w:r w:rsidRPr="00901977">
        <w:rPr>
          <w:rFonts w:ascii="Noto Sans" w:eastAsia="Times New Roman" w:hAnsi="Noto Sans" w:cs="Noto Sans"/>
          <w:color w:val="515151"/>
          <w:kern w:val="0"/>
          <w:sz w:val="23"/>
          <w:szCs w:val="23"/>
          <w14:ligatures w14:val="none"/>
        </w:rPr>
        <w:t> to qualifying employees, dental insurance, vision insurance, life insurance, short and long term disability insurance, retirement savings plan with high employer contributions, a generous paid time off program, and more!</w:t>
      </w:r>
    </w:p>
    <w:p w14:paraId="633B1804"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As the benefits package at the CIA results in a significant value above the base hiring salary for this position, we encourage you to apply so that our recruiters can share more information with you about the benefits of working for the CIA.</w:t>
      </w:r>
    </w:p>
    <w:p w14:paraId="6D153C13"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w:t>
      </w:r>
    </w:p>
    <w:p w14:paraId="62AE90F2"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POSITION SUMMARY</w:t>
      </w:r>
    </w:p>
    <w:p w14:paraId="5DFB916B"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The Development Officer – Corporate Engagement and Student Initiatives is a key member of the Culinary Institute of America’s (CIA’s) Development Corporate Relations (CR) team. This hybrid role bridges fundraising for student-centered initiatives with corporate engagement strategy. As a member of a dynamic team of dedicated, goal-oriented fundraising professionals, this role manages a highly integrated approach to the strategic and financial goals of the Institute. The Officer will lead sponsorship and donor cultivation for signature student events such as the college’s Annual Student Activities Program (ASAP), Student Cook-Off’s, Student &amp; Campus Living activities and programs, while also managing select corporate accounts and supporting key development events and partnerships. In addition, the Officer will be responsible for the identification, cultivation, and solicitation of flagship fundraiser events, special-purpose gifts, and the management of a growing portfolio. The Officer will also develop, coordinate, and manage Corporate Relations accounting tools in support of the CR Team. The Officer will work cross-functionally with CIA’s branch campuses and work to secure a revenue target of $820,000 or more. The Officer will be responsible for managing the Manager, Corporate Relations, following the onboarding process.</w:t>
      </w:r>
    </w:p>
    <w:p w14:paraId="1706993B"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w:t>
      </w:r>
    </w:p>
    <w:p w14:paraId="73311A5D"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KEY RESPONSIBILITIES</w:t>
      </w:r>
    </w:p>
    <w:p w14:paraId="3DCD48E3"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lastRenderedPageBreak/>
        <w:t>Fundraising &amp; Donor Engagement</w:t>
      </w:r>
    </w:p>
    <w:p w14:paraId="077203E9"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Lead and drive fundraising for student-focused initiatives across three CIA campuses (NY, CA, TX) to generate $820,000K+ annually.</w:t>
      </w:r>
    </w:p>
    <w:p w14:paraId="3C0CB426"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Manage a donor portfolio of up to 75+ corporate and a few individual supporters with a secondary fundraising goal of $75K+, generating gifts for various Corporate Relations initiatives.</w:t>
      </w:r>
    </w:p>
    <w:p w14:paraId="4E67D99D"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Identify, cultivate, solicit, and steward donors through campus tours, meetings, and event activations.</w:t>
      </w:r>
    </w:p>
    <w:p w14:paraId="011444A4"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Prepare proposals, letters of agreement, GIK forms, engagement grids, donor materials, and stewardship reports in collaboration with the Corporate Relations team and Development team members.</w:t>
      </w:r>
    </w:p>
    <w:p w14:paraId="0199EA93"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Maintain master pipeline targets for all budgeted student program categories and event initiatives. Lead in identifying donors for the various areas.</w:t>
      </w:r>
    </w:p>
    <w:p w14:paraId="08C8B637"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Maintain accurate data in donor management systems to coordinate CRM updates.</w:t>
      </w:r>
    </w:p>
    <w:p w14:paraId="17030C6C"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Create, send, and follow up on Corporate Relations solicitations and communication vehicles as needed.</w:t>
      </w:r>
    </w:p>
    <w:p w14:paraId="6B004B6B" w14:textId="77777777" w:rsidR="00901977" w:rsidRPr="00901977" w:rsidRDefault="00901977" w:rsidP="00901977">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Effectively communicate with a vast audience of industry leaders representing the following: C-Suite, Marketing, Business Development, Sales, and Culinary teams.</w:t>
      </w:r>
    </w:p>
    <w:p w14:paraId="055A33D9"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Program &amp; Event Management</w:t>
      </w:r>
    </w:p>
    <w:p w14:paraId="7083B591" w14:textId="77777777" w:rsidR="00901977" w:rsidRPr="00901977" w:rsidRDefault="00901977" w:rsidP="00901977">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Drive and oversee fundraising and collaborate on operations for:</w:t>
      </w:r>
    </w:p>
    <w:p w14:paraId="07D95C30" w14:textId="77777777" w:rsidR="00901977" w:rsidRPr="00901977" w:rsidRDefault="00901977" w:rsidP="00901977">
      <w:pPr>
        <w:numPr>
          <w:ilvl w:val="0"/>
          <w:numId w:val="2"/>
        </w:numPr>
        <w:shd w:val="clear" w:color="auto" w:fill="FFFFFF"/>
        <w:spacing w:after="0" w:line="240" w:lineRule="auto"/>
        <w:ind w:left="1440"/>
        <w:rPr>
          <w:rFonts w:ascii="Noto Sans" w:eastAsia="Times New Roman" w:hAnsi="Noto Sans" w:cs="Noto Sans"/>
          <w:color w:val="515151"/>
          <w:kern w:val="0"/>
          <w:sz w:val="23"/>
          <w:szCs w:val="23"/>
          <w14:ligatures w14:val="none"/>
        </w:rPr>
      </w:pPr>
    </w:p>
    <w:p w14:paraId="38B24F1E" w14:textId="77777777" w:rsidR="00901977" w:rsidRPr="00901977" w:rsidRDefault="00901977" w:rsidP="00901977">
      <w:pPr>
        <w:numPr>
          <w:ilvl w:val="1"/>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ASAP: multi-campus program supported by 30+ corporate partners delivering multi-year activations to New York, California, and Texas campuses.</w:t>
      </w:r>
    </w:p>
    <w:p w14:paraId="2B91F5C9" w14:textId="77777777" w:rsidR="00901977" w:rsidRPr="00901977" w:rsidRDefault="00901977" w:rsidP="00901977">
      <w:pPr>
        <w:numPr>
          <w:ilvl w:val="1"/>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Student Cook-Offs: approximately 5 annual events across NY and SA campuses.</w:t>
      </w:r>
    </w:p>
    <w:p w14:paraId="198EE93A" w14:textId="77777777" w:rsidR="00901977" w:rsidRPr="00901977" w:rsidRDefault="00901977" w:rsidP="00901977">
      <w:pPr>
        <w:numPr>
          <w:ilvl w:val="1"/>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Campus Life Initiatives: Student Charity Dinners (4/yr), Week of Welcome, Student Clubs &amp; Special Project Days, Tri-Wizard, Special Project Day and Staff/Faculty Appreciation Days, and others. </w:t>
      </w:r>
    </w:p>
    <w:p w14:paraId="1A961B4F" w14:textId="77777777" w:rsidR="00901977" w:rsidRPr="00901977" w:rsidRDefault="00901977" w:rsidP="00901977">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Collaborate with internal departments to ensure seamless and successful planning and execution, along with sponsorship fulfillment. </w:t>
      </w:r>
    </w:p>
    <w:p w14:paraId="0BA252E2" w14:textId="77777777" w:rsidR="00901977" w:rsidRPr="00901977" w:rsidRDefault="00901977" w:rsidP="00901977">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Develop and maintain SOP’s and program stewardship plans to ensure appropriate policies and procedures are in place for all initiatives.</w:t>
      </w:r>
    </w:p>
    <w:p w14:paraId="6D526FE1"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Corporate Relations Support</w:t>
      </w:r>
    </w:p>
    <w:p w14:paraId="0E9B0B65" w14:textId="77777777" w:rsidR="00901977" w:rsidRPr="00901977" w:rsidRDefault="00901977" w:rsidP="00901977">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lastRenderedPageBreak/>
        <w:t>Support broader Corporate Relations efforts, including pipeline development, SOP development, GIK tracking, and reconciliation to back-up monthly closing procedures.</w:t>
      </w:r>
    </w:p>
    <w:p w14:paraId="6D10D085" w14:textId="77777777" w:rsidR="00901977" w:rsidRPr="00901977" w:rsidRDefault="00901977" w:rsidP="00901977">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Support the development of donor proposals, reports, and presentations, including editing and writing of donor correspondence.</w:t>
      </w:r>
    </w:p>
    <w:p w14:paraId="391C6C50" w14:textId="77777777" w:rsidR="00901977" w:rsidRPr="00901977" w:rsidRDefault="00901977" w:rsidP="00901977">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Foster cross-functional collaborative relationships and communications across all CIA campuses, utilizing best practices for matching donor interest with institutional priorities.</w:t>
      </w:r>
    </w:p>
    <w:p w14:paraId="1274056B" w14:textId="77777777" w:rsidR="00901977" w:rsidRPr="00901977" w:rsidRDefault="00901977" w:rsidP="00901977">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Collaborate regularly with CR team to focus on business development for overall student initiatives platforms and to constantly build CR pipeline. Monitor progress towards achieving revenue goals.</w:t>
      </w:r>
    </w:p>
    <w:p w14:paraId="080090DF" w14:textId="77777777" w:rsidR="00901977" w:rsidRPr="00901977" w:rsidRDefault="00901977" w:rsidP="00901977">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Attend industry events as needed to deepen donor engagement and expand CIA’s corporate network.</w:t>
      </w:r>
    </w:p>
    <w:p w14:paraId="18C27AEE" w14:textId="77777777" w:rsidR="00901977" w:rsidRPr="00901977" w:rsidRDefault="00901977" w:rsidP="00901977">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Perform any and all other duties as assigned and required by The Culinary Institute of America.</w:t>
      </w:r>
    </w:p>
    <w:p w14:paraId="77F2AD9C"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Stewardship &amp; Reporting</w:t>
      </w:r>
    </w:p>
    <w:p w14:paraId="33FB3FDF" w14:textId="77777777" w:rsidR="00901977" w:rsidRPr="00901977" w:rsidRDefault="00901977" w:rsidP="00901977">
      <w:pPr>
        <w:numPr>
          <w:ilvl w:val="0"/>
          <w:numId w:val="4"/>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Responsible for stewardship of individual portfolio and works with CR team as needed for support.</w:t>
      </w:r>
    </w:p>
    <w:p w14:paraId="48CE0DC7" w14:textId="77777777" w:rsidR="00901977" w:rsidRPr="00901977" w:rsidRDefault="00901977" w:rsidP="00901977">
      <w:pPr>
        <w:numPr>
          <w:ilvl w:val="0"/>
          <w:numId w:val="4"/>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Collaborate with the Corporate Relations Team to develop cohesive stewardship strategies for each Student Initiatives program.</w:t>
      </w:r>
    </w:p>
    <w:p w14:paraId="23F354E0" w14:textId="77777777" w:rsidR="00901977" w:rsidRPr="00901977" w:rsidRDefault="00901977" w:rsidP="00901977">
      <w:pPr>
        <w:numPr>
          <w:ilvl w:val="0"/>
          <w:numId w:val="4"/>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Lead stewardship communications, including event follow-ups, case studies, impact reports, and donor recognition tools for participating events, working collaboratively with Sr. Manager of Development Communications.</w:t>
      </w:r>
    </w:p>
    <w:p w14:paraId="490BD716" w14:textId="77777777" w:rsidR="00901977" w:rsidRPr="00901977" w:rsidRDefault="00901977" w:rsidP="00901977">
      <w:pPr>
        <w:numPr>
          <w:ilvl w:val="0"/>
          <w:numId w:val="4"/>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Contribute to the development of the CR Resources Center and regular donor reporting tools with CR Team on a monthly basis.</w:t>
      </w:r>
    </w:p>
    <w:p w14:paraId="66474C4B" w14:textId="77777777" w:rsidR="00901977" w:rsidRPr="00901977" w:rsidRDefault="00901977" w:rsidP="00901977">
      <w:pPr>
        <w:numPr>
          <w:ilvl w:val="0"/>
          <w:numId w:val="4"/>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Maintain updated corporate contacts and track progress utilizing Millennium, Crystal reports, and prospect tracking system.</w:t>
      </w:r>
    </w:p>
    <w:p w14:paraId="5846C943"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Events &amp; Outreach</w:t>
      </w:r>
    </w:p>
    <w:p w14:paraId="2EA3FE63" w14:textId="77777777" w:rsidR="00901977" w:rsidRPr="00901977" w:rsidRDefault="00901977" w:rsidP="00901977">
      <w:pPr>
        <w:numPr>
          <w:ilvl w:val="0"/>
          <w:numId w:val="5"/>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Develop relationships with portfolio constituents who can help advance the CIA’s major events and initiatives within Officer’s scope of responsibility.</w:t>
      </w:r>
    </w:p>
    <w:p w14:paraId="6462D6C8" w14:textId="77777777" w:rsidR="00901977" w:rsidRPr="00901977" w:rsidRDefault="00901977" w:rsidP="00901977">
      <w:pPr>
        <w:numPr>
          <w:ilvl w:val="0"/>
          <w:numId w:val="5"/>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Participation and support for Development-wide events throughout the year such as Leadership Awards, “Run For Your Knives”, select Alumni initiatives , Family Weekend and others as deemed appropriate.</w:t>
      </w:r>
    </w:p>
    <w:p w14:paraId="3ED6A70D" w14:textId="77777777" w:rsidR="00901977" w:rsidRPr="00901977" w:rsidRDefault="00901977" w:rsidP="00901977">
      <w:pPr>
        <w:numPr>
          <w:ilvl w:val="0"/>
          <w:numId w:val="5"/>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Any and all other duties as assigned.</w:t>
      </w:r>
    </w:p>
    <w:p w14:paraId="4BD362E2"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w:t>
      </w:r>
    </w:p>
    <w:p w14:paraId="078544AF"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REQUIRED QUALIFICATIONS</w:t>
      </w:r>
    </w:p>
    <w:p w14:paraId="1EA8931E"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u w:val="single"/>
          <w14:ligatures w14:val="none"/>
        </w:rPr>
        <w:lastRenderedPageBreak/>
        <w:t>Education:</w:t>
      </w:r>
    </w:p>
    <w:p w14:paraId="44209973" w14:textId="77777777" w:rsidR="00901977" w:rsidRPr="00901977" w:rsidRDefault="00901977" w:rsidP="00901977">
      <w:pPr>
        <w:numPr>
          <w:ilvl w:val="0"/>
          <w:numId w:val="6"/>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Bachelor’s Degree from an accredited college or university in Business, Communications, Fundraising, Hospitality, Marketing, or related field or an Associate’s degree in Business, Communications, Fundraising, Hospitality, Marketing, or related field with 6 or more years of progressive experience working in fundraising, sales, marketing or business development.</w:t>
      </w:r>
    </w:p>
    <w:p w14:paraId="31ABA96B"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u w:val="single"/>
          <w14:ligatures w14:val="none"/>
        </w:rPr>
        <w:t>Experience:</w:t>
      </w:r>
    </w:p>
    <w:p w14:paraId="218F4324" w14:textId="77777777" w:rsidR="00901977" w:rsidRPr="00901977" w:rsidRDefault="00901977" w:rsidP="00901977">
      <w:pPr>
        <w:numPr>
          <w:ilvl w:val="0"/>
          <w:numId w:val="7"/>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Three (3) to five (5) years of progressive experience working in fundraising, sales, marketing, or business development.</w:t>
      </w:r>
    </w:p>
    <w:p w14:paraId="100F8AAE" w14:textId="77777777" w:rsidR="00901977" w:rsidRPr="00901977" w:rsidRDefault="00901977" w:rsidP="00901977">
      <w:pPr>
        <w:numPr>
          <w:ilvl w:val="0"/>
          <w:numId w:val="7"/>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Previous experience in event, foodservice and/or hospitality industry.</w:t>
      </w:r>
    </w:p>
    <w:p w14:paraId="3F47FD71"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w:t>
      </w:r>
    </w:p>
    <w:p w14:paraId="47D2B5C9"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PREFERRED QUALIFICATIONS</w:t>
      </w:r>
    </w:p>
    <w:p w14:paraId="7994C2C6" w14:textId="77777777" w:rsidR="00901977" w:rsidRPr="00901977" w:rsidRDefault="00901977" w:rsidP="00901977">
      <w:pPr>
        <w:numPr>
          <w:ilvl w:val="0"/>
          <w:numId w:val="8"/>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Knowledge of fundraising principles and/or experience in higher education development.</w:t>
      </w:r>
    </w:p>
    <w:p w14:paraId="5B010F34" w14:textId="77777777" w:rsidR="00901977" w:rsidRPr="00901977" w:rsidRDefault="00901977" w:rsidP="00901977">
      <w:pPr>
        <w:numPr>
          <w:ilvl w:val="0"/>
          <w:numId w:val="8"/>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Background in the foodservice and/or hospitality industry.</w:t>
      </w:r>
    </w:p>
    <w:p w14:paraId="52B11FAC" w14:textId="77777777" w:rsidR="00901977" w:rsidRPr="00901977" w:rsidRDefault="00901977" w:rsidP="00901977">
      <w:pPr>
        <w:numPr>
          <w:ilvl w:val="0"/>
          <w:numId w:val="8"/>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Experience in planning donor-facing events and creation of sponsorship opportunities.</w:t>
      </w:r>
    </w:p>
    <w:p w14:paraId="7018E4E5" w14:textId="77777777" w:rsidR="00901977" w:rsidRPr="00901977" w:rsidRDefault="00901977" w:rsidP="00901977">
      <w:pPr>
        <w:numPr>
          <w:ilvl w:val="0"/>
          <w:numId w:val="8"/>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Previous marketing and/or business development experience.</w:t>
      </w:r>
    </w:p>
    <w:p w14:paraId="0612161D" w14:textId="77777777" w:rsidR="00901977" w:rsidRPr="00901977" w:rsidRDefault="00901977" w:rsidP="00901977">
      <w:pPr>
        <w:numPr>
          <w:ilvl w:val="0"/>
          <w:numId w:val="8"/>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Proficient in CRM systems (Millennium/Salesforce preferred) and MS Office Suite </w:t>
      </w:r>
    </w:p>
    <w:p w14:paraId="7EE6FFD1"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w:t>
      </w:r>
    </w:p>
    <w:p w14:paraId="7EF0F859"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REQUIRED SKILLS</w:t>
      </w:r>
    </w:p>
    <w:p w14:paraId="7D745F3F"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Strong teamwork and interpersonal skills; ability to be adaptable, dependable, and handle multiple priorities simultaneously.</w:t>
      </w:r>
    </w:p>
    <w:p w14:paraId="7476E9E5"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Strong organizational, communication, and project management skills.</w:t>
      </w:r>
    </w:p>
    <w:p w14:paraId="10F7F9B2"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Excellent Customer Service skills.</w:t>
      </w:r>
    </w:p>
    <w:p w14:paraId="1432CCC0"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Comfortable engaging with corporate executives and donor stakeholders.</w:t>
      </w:r>
    </w:p>
    <w:p w14:paraId="7BE5A63B"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Must display a high level of energy and self-motivation.</w:t>
      </w:r>
    </w:p>
    <w:p w14:paraId="34272663"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Demonstrated passion for project and event management.</w:t>
      </w:r>
    </w:p>
    <w:p w14:paraId="5CF86EAB"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Detail-oriented and thorough with exceptional organizational skills.</w:t>
      </w:r>
    </w:p>
    <w:p w14:paraId="41BA73A2"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Demonstrate strong facilitation and presentation skills.</w:t>
      </w:r>
    </w:p>
    <w:p w14:paraId="28F2DBB4"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lastRenderedPageBreak/>
        <w:t>Excellent written, verbal communication, and presentation skills required. Must have demonstrated ability in organizational, time management, problem-solving, and interpersonal skills.</w:t>
      </w:r>
    </w:p>
    <w:p w14:paraId="07E357AB"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Ability to have an approach to problem solving that is highly collegial and positive in outlook and approach.</w:t>
      </w:r>
    </w:p>
    <w:p w14:paraId="37A6F557"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Ability to interpret and articulate vision.</w:t>
      </w:r>
    </w:p>
    <w:p w14:paraId="1B1EE99E"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Ability to use sound judgment and discretion in handling sensitive Development information with confidentiality and discretion.</w:t>
      </w:r>
    </w:p>
    <w:p w14:paraId="0BF5122A"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Strong computer experience, which must include abilities to work effectively with e-Learning systems, fund-raising database systems, and MS Office suite products, i.e. Word, Excel, and advanced skills in PowerPoint required.</w:t>
      </w:r>
    </w:p>
    <w:p w14:paraId="53C69ED6" w14:textId="77777777" w:rsidR="00901977" w:rsidRPr="00901977" w:rsidRDefault="00901977" w:rsidP="00901977">
      <w:pPr>
        <w:numPr>
          <w:ilvl w:val="0"/>
          <w:numId w:val="9"/>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Must be able to work in a fast-paced environment with demonstrated ability to juggle multiple competing tasks and demands.</w:t>
      </w:r>
    </w:p>
    <w:p w14:paraId="05C85FD2"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 </w:t>
      </w:r>
    </w:p>
    <w:p w14:paraId="7310BA3A"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b/>
          <w:bCs/>
          <w:color w:val="515151"/>
          <w:kern w:val="0"/>
          <w:sz w:val="23"/>
          <w:szCs w:val="23"/>
          <w14:ligatures w14:val="none"/>
        </w:rPr>
        <w:t>WORKING CONDITIONS</w:t>
      </w:r>
    </w:p>
    <w:p w14:paraId="63C53316" w14:textId="77777777" w:rsidR="00901977" w:rsidRPr="00901977" w:rsidRDefault="00901977" w:rsidP="00901977">
      <w:pPr>
        <w:numPr>
          <w:ilvl w:val="0"/>
          <w:numId w:val="10"/>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Hybrid work environment with both remote and on-campus presence required.</w:t>
      </w:r>
    </w:p>
    <w:p w14:paraId="1F45C21D" w14:textId="77777777" w:rsidR="00901977" w:rsidRPr="00901977" w:rsidRDefault="00901977" w:rsidP="00901977">
      <w:pPr>
        <w:numPr>
          <w:ilvl w:val="0"/>
          <w:numId w:val="10"/>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Flexibility to work evenings and weekends for events as required due to business needs.</w:t>
      </w:r>
    </w:p>
    <w:p w14:paraId="52349452" w14:textId="77777777" w:rsidR="00901977" w:rsidRPr="00901977" w:rsidRDefault="00901977" w:rsidP="00901977">
      <w:pPr>
        <w:numPr>
          <w:ilvl w:val="0"/>
          <w:numId w:val="10"/>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Regular work requires a great deal of sitting and standing for extended periods.</w:t>
      </w:r>
    </w:p>
    <w:p w14:paraId="462AFA0F" w14:textId="77777777" w:rsidR="00901977" w:rsidRPr="00901977" w:rsidRDefault="00901977" w:rsidP="00901977">
      <w:pPr>
        <w:numPr>
          <w:ilvl w:val="0"/>
          <w:numId w:val="10"/>
        </w:numPr>
        <w:shd w:val="clear" w:color="auto" w:fill="FFFFFF"/>
        <w:spacing w:before="100" w:beforeAutospacing="1" w:after="100" w:afterAutospacing="1"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Ability to travel due to business needs (limited).</w:t>
      </w:r>
    </w:p>
    <w:p w14:paraId="79C7FD58" w14:textId="77777777" w:rsidR="00901977" w:rsidRPr="00901977" w:rsidRDefault="00901977" w:rsidP="00901977">
      <w:pPr>
        <w:shd w:val="clear" w:color="auto" w:fill="FFFFFF"/>
        <w:spacing w:before="315" w:after="31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pict w14:anchorId="025B1D9D">
          <v:rect id="_x0000_i1025" style="width:0;height:0" o:hralign="center" o:hrstd="t" o:hr="t" fillcolor="#a0a0a0" stroked="f"/>
        </w:pict>
      </w:r>
    </w:p>
    <w:p w14:paraId="084F0864" w14:textId="77777777" w:rsidR="00901977" w:rsidRPr="00901977" w:rsidRDefault="00901977" w:rsidP="00901977">
      <w:pPr>
        <w:shd w:val="clear" w:color="auto" w:fill="FFFFFF"/>
        <w:spacing w:after="225" w:line="240" w:lineRule="auto"/>
        <w:rPr>
          <w:rFonts w:ascii="Noto Sans" w:eastAsia="Times New Roman" w:hAnsi="Noto Sans" w:cs="Noto Sans"/>
          <w:color w:val="515151"/>
          <w:kern w:val="0"/>
          <w:sz w:val="23"/>
          <w:szCs w:val="23"/>
          <w14:ligatures w14:val="none"/>
        </w:rPr>
      </w:pPr>
      <w:r w:rsidRPr="00901977">
        <w:rPr>
          <w:rFonts w:ascii="Noto Sans" w:eastAsia="Times New Roman" w:hAnsi="Noto Sans" w:cs="Noto Sans"/>
          <w:color w:val="515151"/>
          <w:kern w:val="0"/>
          <w:sz w:val="23"/>
          <w:szCs w:val="23"/>
          <w14:ligatures w14:val="none"/>
        </w:rPr>
        <w:t>Equal Opportunity Employer</w:t>
      </w:r>
      <w:r w:rsidRPr="00901977">
        <w:rPr>
          <w:rFonts w:ascii="Noto Sans" w:eastAsia="Times New Roman" w:hAnsi="Noto Sans" w:cs="Noto Sans"/>
          <w:color w:val="515151"/>
          <w:kern w:val="0"/>
          <w:sz w:val="23"/>
          <w:szCs w:val="23"/>
          <w14:ligatures w14:val="none"/>
        </w:rPr>
        <w:br/>
        <w:t>This employer is required to notify all applicants of their rights pursuant to federal employment laws. For further information, please review the </w:t>
      </w:r>
      <w:hyperlink r:id="rId5" w:tgtFrame="_blank" w:history="1">
        <w:r w:rsidRPr="00901977">
          <w:rPr>
            <w:rFonts w:ascii="Noto Sans" w:eastAsia="Times New Roman" w:hAnsi="Noto Sans" w:cs="Noto Sans"/>
            <w:color w:val="0176B2"/>
            <w:kern w:val="0"/>
            <w:sz w:val="23"/>
            <w:szCs w:val="23"/>
            <w14:ligatures w14:val="none"/>
          </w:rPr>
          <w:t>Know Your Rights</w:t>
        </w:r>
      </w:hyperlink>
      <w:r w:rsidRPr="00901977">
        <w:rPr>
          <w:rFonts w:ascii="Noto Sans" w:eastAsia="Times New Roman" w:hAnsi="Noto Sans" w:cs="Noto Sans"/>
          <w:color w:val="515151"/>
          <w:kern w:val="0"/>
          <w:sz w:val="23"/>
          <w:szCs w:val="23"/>
          <w14:ligatures w14:val="none"/>
        </w:rPr>
        <w:t> notice from the Department of Labor.</w:t>
      </w:r>
    </w:p>
    <w:p w14:paraId="134CBCCC" w14:textId="77777777" w:rsidR="00A95CF7" w:rsidRDefault="00A95CF7"/>
    <w:sectPr w:rsidR="00A95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020"/>
    <w:multiLevelType w:val="multilevel"/>
    <w:tmpl w:val="3FEA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66A93"/>
    <w:multiLevelType w:val="multilevel"/>
    <w:tmpl w:val="C85A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D083B"/>
    <w:multiLevelType w:val="multilevel"/>
    <w:tmpl w:val="E6C4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B7D6D"/>
    <w:multiLevelType w:val="multilevel"/>
    <w:tmpl w:val="036C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1623B"/>
    <w:multiLevelType w:val="multilevel"/>
    <w:tmpl w:val="824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D955CE"/>
    <w:multiLevelType w:val="multilevel"/>
    <w:tmpl w:val="FBA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635F8"/>
    <w:multiLevelType w:val="multilevel"/>
    <w:tmpl w:val="620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437B9"/>
    <w:multiLevelType w:val="multilevel"/>
    <w:tmpl w:val="EBEC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1C3DF5"/>
    <w:multiLevelType w:val="multilevel"/>
    <w:tmpl w:val="58F2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727A05"/>
    <w:multiLevelType w:val="multilevel"/>
    <w:tmpl w:val="DBA8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460279">
    <w:abstractNumId w:val="3"/>
  </w:num>
  <w:num w:numId="2" w16cid:durableId="460806799">
    <w:abstractNumId w:val="0"/>
  </w:num>
  <w:num w:numId="3" w16cid:durableId="1686319002">
    <w:abstractNumId w:val="8"/>
  </w:num>
  <w:num w:numId="4" w16cid:durableId="1587106196">
    <w:abstractNumId w:val="9"/>
  </w:num>
  <w:num w:numId="5" w16cid:durableId="1630166417">
    <w:abstractNumId w:val="7"/>
  </w:num>
  <w:num w:numId="6" w16cid:durableId="23868533">
    <w:abstractNumId w:val="5"/>
  </w:num>
  <w:num w:numId="7" w16cid:durableId="1887136747">
    <w:abstractNumId w:val="1"/>
  </w:num>
  <w:num w:numId="8" w16cid:durableId="2092507242">
    <w:abstractNumId w:val="6"/>
  </w:num>
  <w:num w:numId="9" w16cid:durableId="334695541">
    <w:abstractNumId w:val="4"/>
  </w:num>
  <w:num w:numId="10" w16cid:durableId="1569337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77"/>
    <w:rsid w:val="003B4FE0"/>
    <w:rsid w:val="00901977"/>
    <w:rsid w:val="00914857"/>
    <w:rsid w:val="00A9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4BF8"/>
  <w15:chartTrackingRefBased/>
  <w15:docId w15:val="{2A3A0488-63BA-4829-AAF2-2C67F98F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1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1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977"/>
    <w:rPr>
      <w:rFonts w:eastAsiaTheme="majorEastAsia" w:cstheme="majorBidi"/>
      <w:color w:val="272727" w:themeColor="text1" w:themeTint="D8"/>
    </w:rPr>
  </w:style>
  <w:style w:type="paragraph" w:styleId="Title">
    <w:name w:val="Title"/>
    <w:basedOn w:val="Normal"/>
    <w:next w:val="Normal"/>
    <w:link w:val="TitleChar"/>
    <w:uiPriority w:val="10"/>
    <w:qFormat/>
    <w:rsid w:val="00901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977"/>
    <w:pPr>
      <w:spacing w:before="160"/>
      <w:jc w:val="center"/>
    </w:pPr>
    <w:rPr>
      <w:i/>
      <w:iCs/>
      <w:color w:val="404040" w:themeColor="text1" w:themeTint="BF"/>
    </w:rPr>
  </w:style>
  <w:style w:type="character" w:customStyle="1" w:styleId="QuoteChar">
    <w:name w:val="Quote Char"/>
    <w:basedOn w:val="DefaultParagraphFont"/>
    <w:link w:val="Quote"/>
    <w:uiPriority w:val="29"/>
    <w:rsid w:val="00901977"/>
    <w:rPr>
      <w:i/>
      <w:iCs/>
      <w:color w:val="404040" w:themeColor="text1" w:themeTint="BF"/>
    </w:rPr>
  </w:style>
  <w:style w:type="paragraph" w:styleId="ListParagraph">
    <w:name w:val="List Paragraph"/>
    <w:basedOn w:val="Normal"/>
    <w:uiPriority w:val="34"/>
    <w:qFormat/>
    <w:rsid w:val="00901977"/>
    <w:pPr>
      <w:ind w:left="720"/>
      <w:contextualSpacing/>
    </w:pPr>
  </w:style>
  <w:style w:type="character" w:styleId="IntenseEmphasis">
    <w:name w:val="Intense Emphasis"/>
    <w:basedOn w:val="DefaultParagraphFont"/>
    <w:uiPriority w:val="21"/>
    <w:qFormat/>
    <w:rsid w:val="00901977"/>
    <w:rPr>
      <w:i/>
      <w:iCs/>
      <w:color w:val="0F4761" w:themeColor="accent1" w:themeShade="BF"/>
    </w:rPr>
  </w:style>
  <w:style w:type="paragraph" w:styleId="IntenseQuote">
    <w:name w:val="Intense Quote"/>
    <w:basedOn w:val="Normal"/>
    <w:next w:val="Normal"/>
    <w:link w:val="IntenseQuoteChar"/>
    <w:uiPriority w:val="30"/>
    <w:qFormat/>
    <w:rsid w:val="00901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977"/>
    <w:rPr>
      <w:i/>
      <w:iCs/>
      <w:color w:val="0F4761" w:themeColor="accent1" w:themeShade="BF"/>
    </w:rPr>
  </w:style>
  <w:style w:type="character" w:styleId="IntenseReference">
    <w:name w:val="Intense Reference"/>
    <w:basedOn w:val="DefaultParagraphFont"/>
    <w:uiPriority w:val="32"/>
    <w:qFormat/>
    <w:rsid w:val="00901977"/>
    <w:rPr>
      <w:b/>
      <w:bCs/>
      <w:smallCaps/>
      <w:color w:val="0F4761" w:themeColor="accent1" w:themeShade="BF"/>
      <w:spacing w:val="5"/>
    </w:rPr>
  </w:style>
  <w:style w:type="paragraph" w:styleId="NormalWeb">
    <w:name w:val="Normal (Web)"/>
    <w:basedOn w:val="Normal"/>
    <w:uiPriority w:val="99"/>
    <w:semiHidden/>
    <w:unhideWhenUsed/>
    <w:rsid w:val="009019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1977"/>
    <w:rPr>
      <w:b/>
      <w:bCs/>
    </w:rPr>
  </w:style>
  <w:style w:type="paragraph" w:customStyle="1" w:styleId="opportunity-equal-opportunity-employer-description">
    <w:name w:val="opportunity-equal-opportunity-employer-description"/>
    <w:basedOn w:val="Normal"/>
    <w:rsid w:val="009019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01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eoc.gov/po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Quan</dc:creator>
  <cp:keywords/>
  <dc:description/>
  <cp:lastModifiedBy>Jess Quan</cp:lastModifiedBy>
  <cp:revision>1</cp:revision>
  <dcterms:created xsi:type="dcterms:W3CDTF">2026-04-24T15:44:00Z</dcterms:created>
  <dcterms:modified xsi:type="dcterms:W3CDTF">2026-04-24T15:44:00Z</dcterms:modified>
</cp:coreProperties>
</file>