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023C7B" w:rsidRPr="00023C7B" w14:paraId="189B18CC" w14:textId="77777777">
        <w:trPr>
          <w:jc w:val="center"/>
        </w:trPr>
        <w:tc>
          <w:tcPr>
            <w:tcW w:w="4680" w:type="dxa"/>
          </w:tcPr>
          <w:p w14:paraId="08A444F4" w14:textId="77777777" w:rsidR="00E80542" w:rsidRPr="00023C7B" w:rsidRDefault="00E80542" w:rsidP="00023C7B">
            <w:pPr>
              <w:spacing w:after="0" w:line="240" w:lineRule="auto"/>
              <w:ind w:right="5107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</w:tc>
        <w:tc>
          <w:tcPr>
            <w:tcW w:w="4680" w:type="dxa"/>
          </w:tcPr>
          <w:p w14:paraId="20F60143" w14:textId="77777777" w:rsidR="00E80542" w:rsidRPr="00023C7B" w:rsidRDefault="00E80542" w:rsidP="00023C7B">
            <w:pPr>
              <w:spacing w:after="0" w:line="240" w:lineRule="auto"/>
              <w:ind w:right="5107"/>
              <w:rPr>
                <w:rFonts w:asciiTheme="majorHAnsi" w:hAnsiTheme="majorHAnsi" w:cstheme="majorHAnsi"/>
                <w:color w:val="000000" w:themeColor="text1"/>
                <w:sz w:val="13"/>
                <w:szCs w:val="13"/>
              </w:rPr>
            </w:pPr>
          </w:p>
        </w:tc>
      </w:tr>
    </w:tbl>
    <w:p w14:paraId="1112F918" w14:textId="2F8FBF5D" w:rsidR="00E80542" w:rsidRPr="00023C7B" w:rsidRDefault="00023C7B" w:rsidP="00023C7B">
      <w:pPr>
        <w:spacing w:after="0" w:line="240" w:lineRule="auto"/>
        <w:ind w:right="5107"/>
        <w:rPr>
          <w:rFonts w:asciiTheme="majorHAnsi" w:hAnsiTheme="majorHAnsi" w:cstheme="majorHAnsi"/>
          <w:b/>
          <w:color w:val="000000" w:themeColor="text1"/>
          <w:sz w:val="11"/>
          <w:szCs w:val="11"/>
        </w:rPr>
      </w:pPr>
      <w:r w:rsidRPr="00E877B7">
        <w:rPr>
          <w:b/>
          <w:noProof/>
          <w:color w:val="474F21"/>
        </w:rPr>
        <w:drawing>
          <wp:anchor distT="0" distB="0" distL="114300" distR="114300" simplePos="0" relativeHeight="251658240" behindDoc="0" locked="0" layoutInCell="1" allowOverlap="1" wp14:anchorId="7A37E2F9" wp14:editId="3967F0C2">
            <wp:simplePos x="0" y="0"/>
            <wp:positionH relativeFrom="column">
              <wp:posOffset>-710</wp:posOffset>
            </wp:positionH>
            <wp:positionV relativeFrom="paragraph">
              <wp:posOffset>26857</wp:posOffset>
            </wp:positionV>
            <wp:extent cx="2646045" cy="1033780"/>
            <wp:effectExtent l="0" t="0" r="0" b="0"/>
            <wp:wrapSquare wrapText="bothSides"/>
            <wp:docPr id="1358645654" name="Picture 3" descr="A logo for a retirement ho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230" name="Picture 3" descr="A logo for a retirement hom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46045" cy="103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0ED16" w14:textId="671F8D06" w:rsidR="00023C7B" w:rsidRPr="00B20CC9" w:rsidRDefault="00023C7B" w:rsidP="00023C7B">
      <w:pPr>
        <w:pStyle w:val="Heading3"/>
        <w:spacing w:before="0" w:line="240" w:lineRule="auto"/>
        <w:ind w:right="5107"/>
        <w:rPr>
          <w:rStyle w:val="Strong"/>
          <w:rFonts w:cstheme="majorHAnsi"/>
          <w:b/>
          <w:bCs/>
          <w:color w:val="000000" w:themeColor="text1"/>
          <w:sz w:val="20"/>
          <w:szCs w:val="20"/>
        </w:rPr>
      </w:pPr>
      <w:r w:rsidRPr="00B20CC9">
        <w:rPr>
          <w:rStyle w:val="Strong"/>
          <w:rFonts w:cstheme="majorHAnsi"/>
          <w:b/>
          <w:bCs/>
          <w:color w:val="000000" w:themeColor="text1"/>
          <w:sz w:val="20"/>
          <w:szCs w:val="20"/>
        </w:rPr>
        <w:t>Executive Director</w:t>
      </w:r>
    </w:p>
    <w:p w14:paraId="6AA72A1B" w14:textId="77777777" w:rsidR="00023C7B" w:rsidRPr="00B20CC9" w:rsidRDefault="00023C7B" w:rsidP="00023C7B">
      <w:pPr>
        <w:pStyle w:val="Heading3"/>
        <w:spacing w:before="0" w:line="240" w:lineRule="auto"/>
        <w:ind w:right="5107"/>
        <w:rPr>
          <w:rStyle w:val="Strong"/>
          <w:rFonts w:cstheme="majorHAnsi"/>
          <w:b/>
          <w:bCs/>
          <w:color w:val="000000" w:themeColor="text1"/>
          <w:sz w:val="20"/>
          <w:szCs w:val="20"/>
        </w:rPr>
      </w:pPr>
      <w:r w:rsidRPr="00B20CC9">
        <w:rPr>
          <w:rStyle w:val="Strong"/>
          <w:rFonts w:cstheme="majorHAnsi"/>
          <w:b/>
          <w:bCs/>
          <w:color w:val="000000" w:themeColor="text1"/>
          <w:sz w:val="20"/>
          <w:szCs w:val="20"/>
        </w:rPr>
        <w:t xml:space="preserve">Gordon Howard Active Living Centre </w:t>
      </w:r>
    </w:p>
    <w:p w14:paraId="50CFB920" w14:textId="4BFDE494" w:rsidR="00B20CC9" w:rsidRPr="00B20CC9" w:rsidRDefault="00023C7B" w:rsidP="00B20CC9">
      <w:pPr>
        <w:pStyle w:val="Heading3"/>
        <w:spacing w:before="0" w:line="240" w:lineRule="auto"/>
        <w:ind w:right="5107"/>
        <w:rPr>
          <w:sz w:val="20"/>
          <w:szCs w:val="20"/>
        </w:rPr>
      </w:pPr>
      <w:r w:rsidRPr="00B20CC9">
        <w:rPr>
          <w:rStyle w:val="Strong"/>
          <w:rFonts w:cstheme="majorHAnsi"/>
          <w:b/>
          <w:bCs/>
          <w:color w:val="000000" w:themeColor="text1"/>
          <w:sz w:val="20"/>
          <w:szCs w:val="20"/>
        </w:rPr>
        <w:t>(Selkirk, Manitoba)</w:t>
      </w:r>
    </w:p>
    <w:p w14:paraId="3F85D243" w14:textId="247CB62F" w:rsidR="00023C7B" w:rsidRPr="00023C7B" w:rsidRDefault="00023C7B" w:rsidP="00023C7B">
      <w:pPr>
        <w:pStyle w:val="Heading3"/>
        <w:spacing w:before="0" w:line="240" w:lineRule="auto"/>
        <w:ind w:right="5107"/>
        <w:rPr>
          <w:rFonts w:cstheme="majorHAnsi"/>
          <w:b w:val="0"/>
          <w:color w:val="000000" w:themeColor="text1"/>
        </w:rPr>
      </w:pPr>
      <w:r w:rsidRPr="00023C7B">
        <w:rPr>
          <w:rStyle w:val="Strong"/>
          <w:rFonts w:cstheme="majorHAnsi"/>
          <w:color w:val="000000" w:themeColor="text1"/>
          <w:sz w:val="15"/>
          <w:szCs w:val="15"/>
        </w:rPr>
        <w:t>Welcome to a life full of energy, connection, and possibility!</w:t>
      </w:r>
      <w:r w:rsidRPr="00023C7B">
        <w:rPr>
          <w:rFonts w:cstheme="majorHAnsi"/>
          <w:color w:val="000000" w:themeColor="text1"/>
          <w:sz w:val="15"/>
          <w:szCs w:val="15"/>
        </w:rPr>
        <w:br/>
      </w:r>
      <w:r w:rsidRPr="00023C7B">
        <w:rPr>
          <w:rFonts w:cstheme="majorHAnsi"/>
          <w:b w:val="0"/>
          <w:color w:val="000000" w:themeColor="text1"/>
          <w:sz w:val="15"/>
          <w:szCs w:val="15"/>
        </w:rPr>
        <w:t>The</w:t>
      </w:r>
      <w:r w:rsidRPr="00023C7B">
        <w:rPr>
          <w:rFonts w:cstheme="majorHAnsi"/>
          <w:color w:val="000000" w:themeColor="text1"/>
          <w:sz w:val="15"/>
          <w:szCs w:val="15"/>
        </w:rPr>
        <w:t xml:space="preserve"> </w:t>
      </w:r>
      <w:r w:rsidRPr="00023C7B">
        <w:rPr>
          <w:rStyle w:val="Strong"/>
          <w:rFonts w:cstheme="majorHAnsi"/>
          <w:color w:val="000000" w:themeColor="text1"/>
          <w:sz w:val="15"/>
          <w:szCs w:val="15"/>
        </w:rPr>
        <w:t>Gordon Howard Active Living Centre</w:t>
      </w:r>
      <w:r w:rsidRPr="00023C7B">
        <w:rPr>
          <w:rFonts w:cstheme="majorHAnsi"/>
          <w:b w:val="0"/>
          <w:color w:val="000000" w:themeColor="text1"/>
          <w:sz w:val="15"/>
          <w:szCs w:val="15"/>
        </w:rPr>
        <w:t xml:space="preserve"> is a vibrant non-profit community hub in downtown Selkirk,</w:t>
      </w:r>
      <w:r>
        <w:rPr>
          <w:rFonts w:cstheme="majorHAnsi"/>
          <w:b w:val="0"/>
          <w:color w:val="000000" w:themeColor="text1"/>
          <w:sz w:val="15"/>
          <w:szCs w:val="15"/>
        </w:rPr>
        <w:t xml:space="preserve"> Manitoba</w:t>
      </w:r>
      <w:r w:rsidRPr="00023C7B">
        <w:rPr>
          <w:rFonts w:cstheme="majorHAnsi"/>
          <w:b w:val="0"/>
          <w:color w:val="000000" w:themeColor="text1"/>
          <w:sz w:val="15"/>
          <w:szCs w:val="15"/>
        </w:rPr>
        <w:t xml:space="preserve"> serving adults in Selkirk, St. Andrews, and St. Clements. We’re dedicated to supporting lifelong wellness—physically, mentally, and socially—and we’re looking for an inspiring</w:t>
      </w:r>
      <w:r w:rsidRPr="00023C7B">
        <w:rPr>
          <w:rFonts w:cstheme="majorHAnsi"/>
          <w:color w:val="000000" w:themeColor="text1"/>
          <w:sz w:val="15"/>
          <w:szCs w:val="15"/>
        </w:rPr>
        <w:t xml:space="preserve"> </w:t>
      </w:r>
      <w:r w:rsidRPr="00023C7B">
        <w:rPr>
          <w:rStyle w:val="Strong"/>
          <w:rFonts w:cstheme="majorHAnsi"/>
          <w:color w:val="000000" w:themeColor="text1"/>
          <w:sz w:val="15"/>
          <w:szCs w:val="15"/>
        </w:rPr>
        <w:t>Executive Director</w:t>
      </w:r>
      <w:r w:rsidRPr="00023C7B">
        <w:rPr>
          <w:rFonts w:cstheme="majorHAnsi"/>
          <w:color w:val="000000" w:themeColor="text1"/>
          <w:sz w:val="15"/>
          <w:szCs w:val="15"/>
        </w:rPr>
        <w:t xml:space="preserve"> </w:t>
      </w:r>
      <w:r w:rsidRPr="00023C7B">
        <w:rPr>
          <w:rFonts w:cstheme="majorHAnsi"/>
          <w:b w:val="0"/>
          <w:color w:val="000000" w:themeColor="text1"/>
          <w:sz w:val="15"/>
          <w:szCs w:val="15"/>
        </w:rPr>
        <w:t>to lead our team</w:t>
      </w:r>
      <w:r>
        <w:rPr>
          <w:rFonts w:cstheme="majorHAnsi"/>
          <w:b w:val="0"/>
          <w:color w:val="000000" w:themeColor="text1"/>
          <w:sz w:val="15"/>
          <w:szCs w:val="15"/>
        </w:rPr>
        <w:t xml:space="preserve"> into exciting future.</w:t>
      </w:r>
    </w:p>
    <w:p w14:paraId="3B45CE1C" w14:textId="77777777" w:rsidR="00023C7B" w:rsidRDefault="00023C7B" w:rsidP="00023C7B">
      <w:pPr>
        <w:pStyle w:val="NormalWeb"/>
        <w:spacing w:before="0" w:beforeAutospacing="0" w:after="0" w:afterAutospacing="0"/>
        <w:ind w:right="5107"/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</w:pPr>
    </w:p>
    <w:p w14:paraId="0BE028CA" w14:textId="55B92824" w:rsidR="00023C7B" w:rsidRPr="00023C7B" w:rsidRDefault="00023C7B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About the Role</w:t>
      </w: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br/>
        <w:t>Reporting directly to the Board of Directors, the Executive Director provides strategic and operational leadership across five key areas:</w:t>
      </w:r>
    </w:p>
    <w:p w14:paraId="318975B2" w14:textId="258BE3E1" w:rsidR="00023C7B" w:rsidRPr="00023C7B" w:rsidRDefault="00023C7B" w:rsidP="00023C7B">
      <w:pPr>
        <w:pStyle w:val="NormalWeb"/>
        <w:numPr>
          <w:ilvl w:val="0"/>
          <w:numId w:val="11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Board relations and governance</w:t>
      </w:r>
    </w:p>
    <w:p w14:paraId="0174FCDE" w14:textId="65E836C6" w:rsidR="00023C7B" w:rsidRPr="00023C7B" w:rsidRDefault="00023C7B" w:rsidP="00023C7B">
      <w:pPr>
        <w:pStyle w:val="NormalWeb"/>
        <w:numPr>
          <w:ilvl w:val="0"/>
          <w:numId w:val="11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Financial management and budgeting</w:t>
      </w:r>
    </w:p>
    <w:p w14:paraId="001583E7" w14:textId="3DC496B0" w:rsidR="00023C7B" w:rsidRPr="00023C7B" w:rsidRDefault="00023C7B" w:rsidP="00023C7B">
      <w:pPr>
        <w:pStyle w:val="NormalWeb"/>
        <w:numPr>
          <w:ilvl w:val="0"/>
          <w:numId w:val="11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Staff and volunteer leadership</w:t>
      </w:r>
    </w:p>
    <w:p w14:paraId="5471F1AF" w14:textId="77777777" w:rsidR="00023C7B" w:rsidRPr="00023C7B" w:rsidRDefault="00023C7B" w:rsidP="00023C7B">
      <w:pPr>
        <w:pStyle w:val="NormalWeb"/>
        <w:numPr>
          <w:ilvl w:val="0"/>
          <w:numId w:val="11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Community and stakeholder relations</w:t>
      </w:r>
    </w:p>
    <w:p w14:paraId="3251B7D4" w14:textId="22BCBCDA" w:rsidR="00023C7B" w:rsidRPr="00023C7B" w:rsidRDefault="00023C7B" w:rsidP="00023C7B">
      <w:pPr>
        <w:pStyle w:val="NormalWeb"/>
        <w:numPr>
          <w:ilvl w:val="0"/>
          <w:numId w:val="11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Program and facility operations</w:t>
      </w:r>
    </w:p>
    <w:p w14:paraId="040606E7" w14:textId="77777777" w:rsidR="00023C7B" w:rsidRPr="00023C7B" w:rsidRDefault="00023C7B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Qualifications</w:t>
      </w:r>
    </w:p>
    <w:p w14:paraId="764378F2" w14:textId="4AC204A5" w:rsidR="00023C7B" w:rsidRPr="00023C7B" w:rsidRDefault="00023C7B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Post-secondary education in </w:t>
      </w:r>
      <w:r w:rsidR="00F64F56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business, public administration, </w:t>
      </w:r>
      <w:r w:rsidR="00841835">
        <w:rPr>
          <w:rFonts w:asciiTheme="majorHAnsi" w:hAnsiTheme="majorHAnsi" w:cstheme="majorHAnsi"/>
          <w:color w:val="000000" w:themeColor="text1"/>
          <w:sz w:val="15"/>
          <w:szCs w:val="15"/>
        </w:rPr>
        <w:t>s</w:t>
      </w: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ocial </w:t>
      </w:r>
      <w:r w:rsidR="00841835">
        <w:rPr>
          <w:rFonts w:asciiTheme="majorHAnsi" w:hAnsiTheme="majorHAnsi" w:cstheme="majorHAnsi"/>
          <w:color w:val="000000" w:themeColor="text1"/>
          <w:sz w:val="15"/>
          <w:szCs w:val="15"/>
        </w:rPr>
        <w:t>s</w:t>
      </w: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cience, </w:t>
      </w:r>
      <w:r w:rsidR="00841835">
        <w:rPr>
          <w:rFonts w:asciiTheme="majorHAnsi" w:hAnsiTheme="majorHAnsi" w:cstheme="majorHAnsi"/>
          <w:color w:val="000000" w:themeColor="text1"/>
          <w:sz w:val="15"/>
          <w:szCs w:val="15"/>
        </w:rPr>
        <w:t>r</w:t>
      </w: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ecreation </w:t>
      </w:r>
      <w:r w:rsidR="00841835">
        <w:rPr>
          <w:rFonts w:asciiTheme="majorHAnsi" w:hAnsiTheme="majorHAnsi" w:cstheme="majorHAnsi"/>
          <w:color w:val="000000" w:themeColor="text1"/>
          <w:sz w:val="15"/>
          <w:szCs w:val="15"/>
        </w:rPr>
        <w:t>m</w:t>
      </w: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anagement, </w:t>
      </w:r>
      <w:r w:rsidR="008C3249">
        <w:rPr>
          <w:rFonts w:asciiTheme="majorHAnsi" w:hAnsiTheme="majorHAnsi" w:cstheme="majorHAnsi"/>
          <w:color w:val="000000" w:themeColor="text1"/>
          <w:sz w:val="15"/>
          <w:szCs w:val="15"/>
        </w:rPr>
        <w:t>aging adults</w:t>
      </w:r>
      <w:r w:rsidR="00E74917">
        <w:rPr>
          <w:rFonts w:asciiTheme="majorHAnsi" w:hAnsiTheme="majorHAnsi" w:cstheme="majorHAnsi"/>
          <w:color w:val="000000" w:themeColor="text1"/>
          <w:sz w:val="15"/>
          <w:szCs w:val="15"/>
        </w:rPr>
        <w:t>.</w:t>
      </w:r>
    </w:p>
    <w:p w14:paraId="3B8A299B" w14:textId="77777777" w:rsidR="00E74917" w:rsidRPr="00E74917" w:rsidRDefault="00E74917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  <w:r>
        <w:rPr>
          <w:rFonts w:asciiTheme="majorHAnsi" w:hAnsiTheme="majorHAnsi" w:cstheme="majorHAnsi"/>
          <w:sz w:val="15"/>
          <w:szCs w:val="15"/>
        </w:rPr>
        <w:t>Proficiency in Microsoft Excel including data entry, formula usage and analysis.</w:t>
      </w:r>
    </w:p>
    <w:p w14:paraId="253EC282" w14:textId="7582259F" w:rsidR="00E74917" w:rsidRPr="00E74917" w:rsidRDefault="00E74917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  <w:r>
        <w:rPr>
          <w:rFonts w:asciiTheme="majorHAnsi" w:hAnsiTheme="majorHAnsi" w:cstheme="majorHAnsi"/>
          <w:sz w:val="15"/>
          <w:szCs w:val="15"/>
        </w:rPr>
        <w:t>Experience with the broader Microsoft 365 Environment, including Word, PowerPoint, OneDrive and SharePoint.</w:t>
      </w:r>
    </w:p>
    <w:p w14:paraId="50170092" w14:textId="1CEA32AF" w:rsidR="00F64F56" w:rsidRPr="00F64F56" w:rsidRDefault="00F64F56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  <w:r w:rsidRPr="00F64F56">
        <w:rPr>
          <w:rFonts w:asciiTheme="majorHAnsi" w:hAnsiTheme="majorHAnsi" w:cstheme="majorHAnsi"/>
          <w:sz w:val="15"/>
          <w:szCs w:val="15"/>
        </w:rPr>
        <w:t>Knowledge of issues affecting aging adults</w:t>
      </w:r>
      <w:r w:rsidR="00E74917">
        <w:rPr>
          <w:rFonts w:asciiTheme="majorHAnsi" w:hAnsiTheme="majorHAnsi" w:cstheme="majorHAnsi"/>
          <w:sz w:val="15"/>
          <w:szCs w:val="15"/>
        </w:rPr>
        <w:t>.</w:t>
      </w:r>
    </w:p>
    <w:p w14:paraId="7F949193" w14:textId="5FA72908" w:rsidR="00023C7B" w:rsidRPr="00023C7B" w:rsidRDefault="008C3249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>
        <w:rPr>
          <w:rFonts w:asciiTheme="majorHAnsi" w:hAnsiTheme="majorHAnsi" w:cstheme="majorHAnsi"/>
          <w:color w:val="000000" w:themeColor="text1"/>
          <w:sz w:val="15"/>
          <w:szCs w:val="15"/>
        </w:rPr>
        <w:t>Fundraising, m</w:t>
      </w:r>
      <w:r w:rsidR="00023C7B"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arketing and public</w:t>
      </w:r>
      <w:r w:rsidR="00E74917">
        <w:rPr>
          <w:rFonts w:asciiTheme="majorHAnsi" w:hAnsiTheme="majorHAnsi" w:cstheme="majorHAnsi"/>
          <w:color w:val="000000" w:themeColor="text1"/>
          <w:sz w:val="15"/>
          <w:szCs w:val="15"/>
        </w:rPr>
        <w:t xml:space="preserve"> </w:t>
      </w:r>
      <w:r w:rsidR="00023C7B"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relations experience</w:t>
      </w:r>
      <w:r w:rsidR="00E74917">
        <w:rPr>
          <w:rFonts w:asciiTheme="majorHAnsi" w:hAnsiTheme="majorHAnsi" w:cstheme="majorHAnsi"/>
          <w:color w:val="000000" w:themeColor="text1"/>
          <w:sz w:val="15"/>
          <w:szCs w:val="15"/>
        </w:rPr>
        <w:t>.</w:t>
      </w:r>
    </w:p>
    <w:p w14:paraId="32C8996C" w14:textId="2ADE005C" w:rsidR="00023C7B" w:rsidRPr="00023C7B" w:rsidRDefault="00023C7B" w:rsidP="00023C7B">
      <w:pPr>
        <w:pStyle w:val="NormalWeb"/>
        <w:numPr>
          <w:ilvl w:val="0"/>
          <w:numId w:val="12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Self-motivated and able to work independently</w:t>
      </w:r>
      <w:r w:rsidR="00E74917">
        <w:rPr>
          <w:rFonts w:asciiTheme="majorHAnsi" w:hAnsiTheme="majorHAnsi" w:cstheme="majorHAnsi"/>
          <w:color w:val="000000" w:themeColor="text1"/>
          <w:sz w:val="15"/>
          <w:szCs w:val="15"/>
        </w:rPr>
        <w:t>.</w:t>
      </w:r>
    </w:p>
    <w:p w14:paraId="54B2978E" w14:textId="11AFD379" w:rsidR="00023C7B" w:rsidRPr="00023C7B" w:rsidRDefault="00023C7B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Preferred</w:t>
      </w:r>
    </w:p>
    <w:p w14:paraId="0BBEF07E" w14:textId="62529328" w:rsidR="00023C7B" w:rsidRDefault="00023C7B" w:rsidP="00F64F56">
      <w:pPr>
        <w:pStyle w:val="NormalWeb"/>
        <w:numPr>
          <w:ilvl w:val="0"/>
          <w:numId w:val="13"/>
        </w:numPr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t>3+ years in the non-profit sect</w:t>
      </w:r>
      <w:r w:rsidR="00F64F56">
        <w:rPr>
          <w:rFonts w:asciiTheme="majorHAnsi" w:hAnsiTheme="majorHAnsi" w:cstheme="majorHAnsi"/>
          <w:color w:val="000000" w:themeColor="text1"/>
          <w:sz w:val="15"/>
          <w:szCs w:val="15"/>
        </w:rPr>
        <w:t>or</w:t>
      </w:r>
    </w:p>
    <w:p w14:paraId="00E6A33F" w14:textId="77777777" w:rsidR="00041B02" w:rsidRDefault="00041B02" w:rsidP="00041B02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</w:p>
    <w:p w14:paraId="634841C7" w14:textId="00D00EF0" w:rsidR="00041B02" w:rsidRDefault="00041B02" w:rsidP="00041B02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</w:pPr>
      <w:r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  <w:t>Conditions of Employment</w:t>
      </w:r>
    </w:p>
    <w:p w14:paraId="61D5AD0E" w14:textId="336E8FBE" w:rsidR="00041B02" w:rsidRDefault="00041B02" w:rsidP="00041B02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</w:pPr>
      <w:r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  <w:t xml:space="preserve">A Satisfactory Criminal Record Check with Vulnerable Sector Search as well as a Satisfactory Adult Abuse Registry Check must be provided. </w:t>
      </w:r>
    </w:p>
    <w:p w14:paraId="2C6166E8" w14:textId="77777777" w:rsidR="00041B02" w:rsidRDefault="00041B02" w:rsidP="00041B02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</w:pPr>
    </w:p>
    <w:p w14:paraId="22293B54" w14:textId="53C92E18" w:rsidR="00041B02" w:rsidRPr="00F64F56" w:rsidRDefault="00041B02" w:rsidP="00361F9A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  <w:r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  <w:tab/>
      </w:r>
    </w:p>
    <w:p w14:paraId="03C89CE5" w14:textId="77777777" w:rsidR="00700C9B" w:rsidRDefault="00023C7B" w:rsidP="00023C7B">
      <w:pPr>
        <w:pStyle w:val="NormalWeb"/>
        <w:spacing w:before="0" w:beforeAutospacing="0" w:after="0" w:afterAutospacing="0"/>
        <w:ind w:right="5107"/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</w:pPr>
      <w:r w:rsidRPr="00023C7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 xml:space="preserve">Apply by </w:t>
      </w:r>
      <w:r w:rsidR="00700C9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January 30</w:t>
      </w:r>
      <w:r w:rsidRPr="00023C7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, 202</w:t>
      </w:r>
      <w:r w:rsidR="00700C9B"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6</w:t>
      </w:r>
    </w:p>
    <w:p w14:paraId="685D1C2D" w14:textId="5B9FDA12" w:rsidR="00023C7B" w:rsidRPr="00700C9B" w:rsidRDefault="00700C9B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b/>
          <w:bCs/>
          <w:color w:val="000000" w:themeColor="text1"/>
          <w:sz w:val="15"/>
          <w:szCs w:val="15"/>
        </w:rPr>
      </w:pPr>
      <w:r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  <w:t>A full job description is available at www.gordonhoward.ca</w:t>
      </w:r>
      <w:r w:rsidR="00023C7B" w:rsidRPr="00023C7B">
        <w:rPr>
          <w:rFonts w:asciiTheme="majorHAnsi" w:hAnsiTheme="majorHAnsi" w:cstheme="majorHAnsi"/>
          <w:color w:val="000000" w:themeColor="text1"/>
          <w:sz w:val="15"/>
          <w:szCs w:val="15"/>
        </w:rPr>
        <w:br/>
        <w:t xml:space="preserve">Email your résumé or inquiries to </w:t>
      </w:r>
    </w:p>
    <w:p w14:paraId="2FB8AA01" w14:textId="07C02A54" w:rsidR="00041B02" w:rsidRDefault="00361F9A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sz w:val="15"/>
          <w:szCs w:val="15"/>
        </w:rPr>
      </w:pPr>
      <w:hyperlink r:id="rId9" w:history="1">
        <w:r w:rsidRPr="007D564E">
          <w:rPr>
            <w:rStyle w:val="Hyperlink"/>
            <w:rFonts w:asciiTheme="majorHAnsi" w:hAnsiTheme="majorHAnsi" w:cstheme="majorHAnsi"/>
            <w:sz w:val="15"/>
            <w:szCs w:val="15"/>
          </w:rPr>
          <w:t>director@gordonhoward.ca</w:t>
        </w:r>
      </w:hyperlink>
    </w:p>
    <w:p w14:paraId="05E9A57C" w14:textId="77777777" w:rsidR="00361F9A" w:rsidRDefault="00361F9A" w:rsidP="00023C7B">
      <w:pPr>
        <w:pStyle w:val="NormalWeb"/>
        <w:spacing w:before="0" w:beforeAutospacing="0" w:after="0" w:afterAutospacing="0"/>
        <w:ind w:right="5107"/>
        <w:rPr>
          <w:rStyle w:val="Strong"/>
          <w:rFonts w:asciiTheme="majorHAnsi" w:hAnsiTheme="majorHAnsi" w:cstheme="majorHAnsi"/>
          <w:color w:val="000000" w:themeColor="text1"/>
          <w:sz w:val="15"/>
          <w:szCs w:val="15"/>
        </w:rPr>
      </w:pPr>
    </w:p>
    <w:p w14:paraId="49FECBAB" w14:textId="77777777" w:rsidR="005E4B26" w:rsidRPr="005E4B26" w:rsidRDefault="005E4B26" w:rsidP="005E4B26">
      <w:pPr>
        <w:spacing w:after="0" w:line="240" w:lineRule="auto"/>
        <w:ind w:right="5249"/>
        <w:rPr>
          <w:rFonts w:asciiTheme="majorHAnsi" w:hAnsiTheme="majorHAnsi" w:cstheme="majorHAnsi"/>
          <w:sz w:val="15"/>
          <w:szCs w:val="15"/>
        </w:rPr>
      </w:pPr>
      <w:r w:rsidRPr="005E4B26">
        <w:rPr>
          <w:rFonts w:asciiTheme="majorHAnsi" w:hAnsiTheme="majorHAnsi" w:cstheme="majorHAnsi"/>
          <w:sz w:val="15"/>
          <w:szCs w:val="15"/>
        </w:rPr>
        <w:t>Gordon Howard thanks all applicants for their interest, however only those selected for an interview will be contacted.</w:t>
      </w:r>
    </w:p>
    <w:p w14:paraId="04232EF9" w14:textId="77777777" w:rsidR="005E4B26" w:rsidRPr="00023C7B" w:rsidRDefault="005E4B26" w:rsidP="00023C7B">
      <w:pPr>
        <w:pStyle w:val="NormalWeb"/>
        <w:spacing w:before="0" w:beforeAutospacing="0" w:after="0" w:afterAutospacing="0"/>
        <w:ind w:right="5107"/>
        <w:rPr>
          <w:rFonts w:asciiTheme="majorHAnsi" w:hAnsiTheme="majorHAnsi" w:cstheme="majorHAnsi"/>
          <w:color w:val="000000" w:themeColor="text1"/>
          <w:sz w:val="15"/>
          <w:szCs w:val="15"/>
        </w:rPr>
      </w:pPr>
    </w:p>
    <w:p w14:paraId="736EAEF7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783B276C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10645771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747B519B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39F6930E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p w14:paraId="69A5F024" w14:textId="77777777" w:rsidR="003139FA" w:rsidRPr="00023C7B" w:rsidRDefault="003139FA" w:rsidP="00023C7B">
      <w:pPr>
        <w:spacing w:after="0" w:line="240" w:lineRule="auto"/>
        <w:ind w:right="5107"/>
        <w:rPr>
          <w:rFonts w:asciiTheme="majorHAnsi" w:hAnsiTheme="majorHAnsi" w:cstheme="majorHAnsi"/>
          <w:color w:val="000000" w:themeColor="text1"/>
          <w:sz w:val="11"/>
          <w:szCs w:val="11"/>
        </w:rPr>
      </w:pPr>
    </w:p>
    <w:sectPr w:rsidR="003139FA" w:rsidRPr="00023C7B" w:rsidSect="001710AC">
      <w:headerReference w:type="default" r:id="rId10"/>
      <w:footerReference w:type="default" r:id="rId11"/>
      <w:pgSz w:w="12240" w:h="15840"/>
      <w:pgMar w:top="544" w:right="1440" w:bottom="775" w:left="1440" w:header="2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3C0C3" w14:textId="77777777" w:rsidR="00575654" w:rsidRDefault="00575654" w:rsidP="0065011C">
      <w:pPr>
        <w:spacing w:after="0" w:line="240" w:lineRule="auto"/>
      </w:pPr>
      <w:r>
        <w:separator/>
      </w:r>
    </w:p>
  </w:endnote>
  <w:endnote w:type="continuationSeparator" w:id="0">
    <w:p w14:paraId="1C4ED16E" w14:textId="77777777" w:rsidR="00575654" w:rsidRDefault="00575654" w:rsidP="00650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8BB9" w14:textId="77777777" w:rsidR="00E877B7" w:rsidRPr="00E877B7" w:rsidRDefault="00E877B7" w:rsidP="00E877B7">
    <w:pPr>
      <w:spacing w:after="0" w:line="240" w:lineRule="auto"/>
      <w:rPr>
        <w:rFonts w:ascii="Calibri" w:hAnsi="Calibri" w:cs="Calibri"/>
        <w:b/>
        <w:bCs/>
        <w:color w:val="474F21"/>
        <w:sz w:val="18"/>
        <w:szCs w:val="18"/>
      </w:rPr>
    </w:pPr>
    <w:r w:rsidRPr="00E877B7">
      <w:rPr>
        <w:rFonts w:ascii="Calibri" w:hAnsi="Calibri" w:cs="Calibri"/>
        <w:color w:val="474F21"/>
        <w:sz w:val="18"/>
        <w:szCs w:val="18"/>
      </w:rPr>
      <w:t xml:space="preserve">384 Eveline St. Selkirk, </w:t>
    </w:r>
    <w:proofErr w:type="gramStart"/>
    <w:r w:rsidRPr="00E877B7">
      <w:rPr>
        <w:rFonts w:ascii="Calibri" w:hAnsi="Calibri" w:cs="Calibri"/>
        <w:color w:val="474F21"/>
        <w:sz w:val="18"/>
        <w:szCs w:val="18"/>
      </w:rPr>
      <w:t>MB  R</w:t>
    </w:r>
    <w:proofErr w:type="gramEnd"/>
    <w:r w:rsidRPr="00E877B7">
      <w:rPr>
        <w:rFonts w:ascii="Calibri" w:hAnsi="Calibri" w:cs="Calibri"/>
        <w:color w:val="474F21"/>
        <w:sz w:val="18"/>
        <w:szCs w:val="18"/>
      </w:rPr>
      <w:t xml:space="preserve">1A 1N3 </w:t>
    </w:r>
    <w:r w:rsidRPr="00E877B7">
      <w:rPr>
        <w:rFonts w:ascii="Calibri" w:hAnsi="Calibri" w:cs="Calibri"/>
        <w:color w:val="474F21"/>
        <w:sz w:val="18"/>
        <w:szCs w:val="18"/>
      </w:rPr>
      <w:tab/>
    </w:r>
    <w:r w:rsidRPr="00E877B7">
      <w:rPr>
        <w:rFonts w:ascii="Calibri" w:hAnsi="Calibri" w:cs="Calibri"/>
        <w:color w:val="474F21"/>
        <w:sz w:val="18"/>
        <w:szCs w:val="18"/>
      </w:rPr>
      <w:tab/>
      <w:t xml:space="preserve">204.785.2092 </w:t>
    </w:r>
    <w:r w:rsidRPr="00E877B7">
      <w:rPr>
        <w:rFonts w:ascii="Calibri" w:hAnsi="Calibri" w:cs="Calibri"/>
        <w:color w:val="474F21"/>
        <w:sz w:val="18"/>
        <w:szCs w:val="18"/>
      </w:rPr>
      <w:tab/>
    </w:r>
    <w:hyperlink r:id="rId1" w:history="1">
      <w:r w:rsidRPr="00E877B7">
        <w:rPr>
          <w:rStyle w:val="Hyperlink"/>
          <w:rFonts w:ascii="Calibri" w:hAnsi="Calibri" w:cs="Calibri"/>
          <w:color w:val="474F21"/>
          <w:sz w:val="18"/>
          <w:szCs w:val="18"/>
        </w:rPr>
        <w:t>info@gordonhoward.ca</w:t>
      </w:r>
    </w:hyperlink>
    <w:r w:rsidRPr="00E877B7">
      <w:rPr>
        <w:rFonts w:ascii="Calibri" w:hAnsi="Calibri" w:cs="Calibri"/>
        <w:color w:val="474F21"/>
        <w:sz w:val="18"/>
        <w:szCs w:val="18"/>
      </w:rPr>
      <w:t xml:space="preserve"> </w:t>
    </w:r>
    <w:r w:rsidRPr="00E877B7">
      <w:rPr>
        <w:rFonts w:ascii="Calibri" w:hAnsi="Calibri" w:cs="Calibri"/>
        <w:color w:val="474F21"/>
        <w:sz w:val="18"/>
        <w:szCs w:val="18"/>
      </w:rPr>
      <w:tab/>
      <w:t>gordonhoward.ca</w:t>
    </w:r>
    <w:r w:rsidRPr="00E877B7">
      <w:rPr>
        <w:rFonts w:ascii="Calibri" w:hAnsi="Calibri" w:cs="Calibri"/>
        <w:color w:val="474F21"/>
        <w:sz w:val="18"/>
        <w:szCs w:val="18"/>
      </w:rPr>
      <w:br/>
    </w:r>
  </w:p>
  <w:p w14:paraId="1522126C" w14:textId="77777777" w:rsidR="00E877B7" w:rsidRPr="00E877B7" w:rsidRDefault="00E877B7">
    <w:pPr>
      <w:pStyle w:val="Footer"/>
      <w:rPr>
        <w:color w:val="474F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A811" w14:textId="77777777" w:rsidR="00575654" w:rsidRDefault="00575654" w:rsidP="0065011C">
      <w:pPr>
        <w:spacing w:after="0" w:line="240" w:lineRule="auto"/>
      </w:pPr>
      <w:r>
        <w:separator/>
      </w:r>
    </w:p>
  </w:footnote>
  <w:footnote w:type="continuationSeparator" w:id="0">
    <w:p w14:paraId="42365EF1" w14:textId="77777777" w:rsidR="00575654" w:rsidRDefault="00575654" w:rsidP="00650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EEA77" w14:textId="57621788" w:rsidR="0065011C" w:rsidRDefault="0065011C" w:rsidP="0012690C">
    <w:pPr>
      <w:pStyle w:val="Header"/>
      <w:tabs>
        <w:tab w:val="clear" w:pos="4680"/>
        <w:tab w:val="center" w:pos="6096"/>
      </w:tabs>
      <w:ind w:left="18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687B74"/>
    <w:multiLevelType w:val="multilevel"/>
    <w:tmpl w:val="E48E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355E0"/>
    <w:multiLevelType w:val="multilevel"/>
    <w:tmpl w:val="596C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820002"/>
    <w:multiLevelType w:val="hybridMultilevel"/>
    <w:tmpl w:val="FD9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0A08"/>
    <w:multiLevelType w:val="multilevel"/>
    <w:tmpl w:val="1DAC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768846">
    <w:abstractNumId w:val="8"/>
  </w:num>
  <w:num w:numId="2" w16cid:durableId="1291283457">
    <w:abstractNumId w:val="6"/>
  </w:num>
  <w:num w:numId="3" w16cid:durableId="1434130532">
    <w:abstractNumId w:val="5"/>
  </w:num>
  <w:num w:numId="4" w16cid:durableId="1017342237">
    <w:abstractNumId w:val="4"/>
  </w:num>
  <w:num w:numId="5" w16cid:durableId="280183756">
    <w:abstractNumId w:val="7"/>
  </w:num>
  <w:num w:numId="6" w16cid:durableId="816843398">
    <w:abstractNumId w:val="3"/>
  </w:num>
  <w:num w:numId="7" w16cid:durableId="921455260">
    <w:abstractNumId w:val="2"/>
  </w:num>
  <w:num w:numId="8" w16cid:durableId="1121606702">
    <w:abstractNumId w:val="1"/>
  </w:num>
  <w:num w:numId="9" w16cid:durableId="390811073">
    <w:abstractNumId w:val="0"/>
  </w:num>
  <w:num w:numId="10" w16cid:durableId="1911380283">
    <w:abstractNumId w:val="11"/>
  </w:num>
  <w:num w:numId="11" w16cid:durableId="2000578656">
    <w:abstractNumId w:val="9"/>
  </w:num>
  <w:num w:numId="12" w16cid:durableId="1794251011">
    <w:abstractNumId w:val="12"/>
  </w:num>
  <w:num w:numId="13" w16cid:durableId="1780835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B3C"/>
    <w:rsid w:val="00023C7B"/>
    <w:rsid w:val="00034616"/>
    <w:rsid w:val="00041B02"/>
    <w:rsid w:val="000472A5"/>
    <w:rsid w:val="0006063C"/>
    <w:rsid w:val="000A6E2A"/>
    <w:rsid w:val="000C18BF"/>
    <w:rsid w:val="000E1A9E"/>
    <w:rsid w:val="000F6D57"/>
    <w:rsid w:val="0012690C"/>
    <w:rsid w:val="00137B17"/>
    <w:rsid w:val="0014140B"/>
    <w:rsid w:val="0015074B"/>
    <w:rsid w:val="00156B49"/>
    <w:rsid w:val="001651D3"/>
    <w:rsid w:val="001710AC"/>
    <w:rsid w:val="00285B49"/>
    <w:rsid w:val="00294383"/>
    <w:rsid w:val="0029639D"/>
    <w:rsid w:val="002B0958"/>
    <w:rsid w:val="00305861"/>
    <w:rsid w:val="003139FA"/>
    <w:rsid w:val="00326F90"/>
    <w:rsid w:val="00330027"/>
    <w:rsid w:val="003413FD"/>
    <w:rsid w:val="00361F9A"/>
    <w:rsid w:val="003D5557"/>
    <w:rsid w:val="004562C0"/>
    <w:rsid w:val="00496402"/>
    <w:rsid w:val="004F1CD6"/>
    <w:rsid w:val="00575654"/>
    <w:rsid w:val="00583922"/>
    <w:rsid w:val="005B0E11"/>
    <w:rsid w:val="005D75AE"/>
    <w:rsid w:val="005E4B26"/>
    <w:rsid w:val="0065011C"/>
    <w:rsid w:val="006725DA"/>
    <w:rsid w:val="00673A16"/>
    <w:rsid w:val="00700C9B"/>
    <w:rsid w:val="007356B7"/>
    <w:rsid w:val="007571AE"/>
    <w:rsid w:val="0075725A"/>
    <w:rsid w:val="007851B7"/>
    <w:rsid w:val="00820E7D"/>
    <w:rsid w:val="00841835"/>
    <w:rsid w:val="008A6CFB"/>
    <w:rsid w:val="008C2BB2"/>
    <w:rsid w:val="008C3249"/>
    <w:rsid w:val="008E1EA8"/>
    <w:rsid w:val="00914EDC"/>
    <w:rsid w:val="00934806"/>
    <w:rsid w:val="0097564F"/>
    <w:rsid w:val="00A00418"/>
    <w:rsid w:val="00A4354B"/>
    <w:rsid w:val="00A71FAE"/>
    <w:rsid w:val="00AA1D8D"/>
    <w:rsid w:val="00AC6018"/>
    <w:rsid w:val="00B00B92"/>
    <w:rsid w:val="00B20CC9"/>
    <w:rsid w:val="00B47730"/>
    <w:rsid w:val="00B530A1"/>
    <w:rsid w:val="00B64824"/>
    <w:rsid w:val="00CB0664"/>
    <w:rsid w:val="00CD68B1"/>
    <w:rsid w:val="00D33500"/>
    <w:rsid w:val="00DB2C8F"/>
    <w:rsid w:val="00DD4F4D"/>
    <w:rsid w:val="00E03FD7"/>
    <w:rsid w:val="00E21EC5"/>
    <w:rsid w:val="00E30627"/>
    <w:rsid w:val="00E41CA0"/>
    <w:rsid w:val="00E7060E"/>
    <w:rsid w:val="00E74917"/>
    <w:rsid w:val="00E80542"/>
    <w:rsid w:val="00E877B7"/>
    <w:rsid w:val="00F64F56"/>
    <w:rsid w:val="00F77F5C"/>
    <w:rsid w:val="00FB63BE"/>
    <w:rsid w:val="00FC5E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BAB615"/>
  <w15:docId w15:val="{D0CB9DE1-03E9-E14F-BBDB-676596D3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877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7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7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EC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306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0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0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62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23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E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or@gordonhoward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ordonhoward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990A8-AD5A-41A1-8EAD-4C0DB136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1511</Characters>
  <Application>Microsoft Office Word</Application>
  <DocSecurity>0</DocSecurity>
  <Lines>55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Lee Hanson</cp:lastModifiedBy>
  <cp:revision>6</cp:revision>
  <cp:lastPrinted>2025-11-05T14:05:00Z</cp:lastPrinted>
  <dcterms:created xsi:type="dcterms:W3CDTF">2025-12-09T03:10:00Z</dcterms:created>
  <dcterms:modified xsi:type="dcterms:W3CDTF">2026-01-12T15:13:00Z</dcterms:modified>
</cp:coreProperties>
</file>